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F9" w:rsidRPr="00966644" w:rsidRDefault="001C53F9" w:rsidP="001C53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966644">
        <w:rPr>
          <w:rFonts w:ascii="Times New Roman" w:eastAsia="Calibri" w:hAnsi="Times New Roman" w:cs="Times New Roman"/>
          <w:b/>
          <w:sz w:val="28"/>
          <w:szCs w:val="28"/>
        </w:rPr>
        <w:t>Оценка качества финансового менеджмента</w:t>
      </w:r>
      <w:r w:rsidRPr="0096664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</w:p>
    <w:p w:rsidR="001C53F9" w:rsidRPr="00792355" w:rsidRDefault="001C53F9" w:rsidP="00792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распорядителя средств бюджета Администрации муниципального образования </w:t>
      </w:r>
      <w:r w:rsidR="000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района, главного администратора дохода бюджета Администрации муниципального образования </w:t>
      </w:r>
      <w:r w:rsidR="000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района, главного администратора </w:t>
      </w:r>
      <w:proofErr w:type="gramStart"/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Администрации муниципального образования</w:t>
      </w:r>
      <w:proofErr w:type="gramEnd"/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79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79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0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год.</w:t>
      </w:r>
    </w:p>
    <w:tbl>
      <w:tblPr>
        <w:tblStyle w:val="a3"/>
        <w:tblpPr w:leftFromText="180" w:rightFromText="180" w:vertAnchor="page" w:horzAnchor="margin" w:tblpY="3841"/>
        <w:tblW w:w="14976" w:type="dxa"/>
        <w:tblLook w:val="04A0"/>
      </w:tblPr>
      <w:tblGrid>
        <w:gridCol w:w="1076"/>
        <w:gridCol w:w="3710"/>
        <w:gridCol w:w="1544"/>
        <w:gridCol w:w="8646"/>
      </w:tblGrid>
      <w:tr w:rsidR="001C53F9" w:rsidRPr="001C53F9" w:rsidTr="00000996">
        <w:tc>
          <w:tcPr>
            <w:tcW w:w="1076" w:type="dxa"/>
          </w:tcPr>
          <w:p w:rsidR="001C53F9" w:rsidRPr="001C53F9" w:rsidRDefault="001C53F9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0" w:type="dxa"/>
          </w:tcPr>
          <w:p w:rsidR="001C53F9" w:rsidRPr="001C53F9" w:rsidRDefault="001C53F9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4" w:type="dxa"/>
          </w:tcPr>
          <w:p w:rsidR="001C53F9" w:rsidRPr="001C53F9" w:rsidRDefault="001C53F9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  <w:tc>
          <w:tcPr>
            <w:tcW w:w="8646" w:type="dxa"/>
          </w:tcPr>
          <w:p w:rsidR="001C53F9" w:rsidRPr="001C53F9" w:rsidRDefault="00070338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38">
              <w:rPr>
                <w:rFonts w:ascii="Times New Roman" w:eastAsia="Calibri" w:hAnsi="Times New Roman" w:cs="Times New Roman"/>
                <w:sz w:val="24"/>
                <w:szCs w:val="28"/>
              </w:rPr>
              <w:t>Расчет показателя</w:t>
            </w:r>
          </w:p>
        </w:tc>
      </w:tr>
      <w:tr w:rsidR="001C53F9" w:rsidRPr="001C53F9" w:rsidTr="00000996">
        <w:tc>
          <w:tcPr>
            <w:tcW w:w="14976" w:type="dxa"/>
            <w:gridSpan w:val="4"/>
          </w:tcPr>
          <w:p w:rsidR="001C53F9" w:rsidRPr="001C53F9" w:rsidRDefault="001C53F9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Показатели, характеризующие качество управления расходами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правового акта,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наличие правового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главного распорядителя средств бюджета </w:t>
            </w:r>
            <w:r w:rsidR="000306A9">
              <w:t xml:space="preserve"> 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r w:rsid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Курманаевского района, главного администратора дохода бюджета </w:t>
            </w:r>
            <w:r w:rsidR="000306A9" w:rsidRP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r w:rsidR="000306A9"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Курманаевского района, главного администратора источников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6A9" w:rsidRP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r w:rsidR="000306A9"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Курманаевского района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главный администратор средств местного бюджета),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  <w:proofErr w:type="gramEnd"/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05"/>
            <w:bookmarkEnd w:id="0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подготовку реестра расходных обязательств главного администратора средств местного бюджета (далее –ГАБС);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подготовку обоснований бюджетных ассигнований;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0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наличие методики прогнозирования поступлений доходов в бюджет</w:t>
            </w:r>
          </w:p>
        </w:tc>
      </w:tr>
      <w:tr w:rsidR="007D12BF" w:rsidRPr="001C53F9" w:rsidTr="00000996">
        <w:trPr>
          <w:trHeight w:val="130"/>
        </w:trPr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правового акта об организации внутреннего финансового аудита (контроля)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 наличие правового акта ГАБС, обеспечивающего: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37"/>
            <w:bookmarkEnd w:id="2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подразделения внутреннего финансового аудита (контроля);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независимость работы подразделения внутреннего финансового аудита (контроля) от работы других подразделений ГАБС;</w:t>
            </w:r>
          </w:p>
          <w:p w:rsidR="00000996" w:rsidRDefault="007D12BF" w:rsidP="000009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процедур и порядка осуществления внутреннего финансового аудита (контроля)</w:t>
            </w:r>
          </w:p>
          <w:p w:rsidR="00364C06" w:rsidRPr="00364C06" w:rsidRDefault="00364C06" w:rsidP="00364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693994"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996"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03.09.2018 № </w:t>
            </w:r>
            <w:r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00996"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000996" w:rsidRPr="00364C0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36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C0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364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местного бюджета, главными </w:t>
            </w:r>
            <w:r w:rsidRPr="00364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      </w:r>
          </w:p>
          <w:p w:rsidR="00664935" w:rsidRPr="000E5C58" w:rsidRDefault="00664935" w:rsidP="000009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расходов, осуществляемых в соответствии с муниципальными программами, в общем объеме расходов ГАБС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объем расходов ГАБС в отчетном финансовом году, осуществленных в рамках муниципальных программ</w:t>
            </w:r>
            <w:r w:rsidR="0096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59 253,086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BAB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(Ф.0503117 «Отчет об исполнении бюджета» за 20</w:t>
            </w:r>
            <w:r w:rsidR="000B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41BAB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год)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07033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объем расходов ГАБС в отчетном финансовом году</w:t>
            </w:r>
            <w:r w:rsidR="0096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F6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59 640,221</w:t>
            </w:r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  <w:r w:rsidR="000C17A4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(Ф.0503117 «Отчет об исполнении бюджета» за 20</w:t>
            </w:r>
            <w:r w:rsidR="000B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C17A4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год).</w:t>
            </w:r>
          </w:p>
          <w:p w:rsidR="00966644" w:rsidRDefault="00966644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8" w:rsidRPr="00FC62F7" w:rsidRDefault="00792355" w:rsidP="00F600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64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36353,073</w:t>
            </w:r>
            <w:r w:rsidR="00FC62F7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0338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64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36687,904</w:t>
            </w:r>
            <w:r w:rsidR="00070338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*100=</w:t>
            </w:r>
            <w:r w:rsidR="0064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</w:t>
            </w:r>
            <w:r w:rsidR="00F6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070338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Равномерность расходов ГАБС в течение отчетного года</w:t>
            </w:r>
          </w:p>
          <w:p w:rsidR="007D12BF" w:rsidRPr="001C53F9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(1.1*(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/ 3) 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7D12BF" w:rsidRDefault="007D12BF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объем расходов ГАБС в первом, втором, третьем и четвертом кварталах отчетного финансового года соответственно (без учета субсидий, субвенций и иных межбюджетных трансфертов, имеющих целевое назначение, поступивших из других бюджетов бюджетной системы)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proofErr w:type="gramStart"/>
            <w:r w:rsidR="00EC738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7685,764</w:t>
            </w:r>
            <w:r w:rsidR="0044263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тыс.руб</w:t>
            </w:r>
            <w:proofErr w:type="gramEnd"/>
            <w:r w:rsidR="0044263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. 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(объем расходов за 1 квартал 20</w:t>
            </w:r>
            <w:r w:rsidR="000B23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EC738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EC738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3526,082</w:t>
            </w:r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тыс.руб.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(объем расходов за 2 квартал 20</w:t>
            </w:r>
            <w:r w:rsidR="000B23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EC738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EC738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12994,840</w:t>
            </w:r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тыс.руб.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(объем расходов за 3 квартал 20</w:t>
            </w:r>
            <w:r w:rsidR="000B23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EC738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EC738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9493,249</w:t>
            </w:r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тыс.руб</w:t>
            </w:r>
            <w:proofErr w:type="gramStart"/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</w:t>
            </w:r>
            <w:proofErr w:type="gramEnd"/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объем расходов за 4 квартал 20</w:t>
            </w:r>
            <w:r w:rsidR="000B23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EC738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г), состояние лицевого счета.</w:t>
            </w:r>
          </w:p>
          <w:p w:rsidR="00792355" w:rsidRPr="001B4140" w:rsidRDefault="00792355" w:rsidP="00011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proofErr w:type="gramStart"/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Р</w:t>
            </w:r>
            <w:proofErr w:type="gramEnd"/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=</w:t>
            </w:r>
            <w:r w:rsidR="00011C74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9493,249</w:t>
            </w:r>
            <w:r w:rsidR="001B4140" w:rsidRPr="001B41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/(1,1*(</w:t>
            </w:r>
            <w:r w:rsidR="00011C7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7685,764</w:t>
            </w:r>
            <w:r w:rsidR="001B4140" w:rsidRPr="001B41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+</w:t>
            </w:r>
            <w:r w:rsidR="00011C7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3526,082</w:t>
            </w: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+</w:t>
            </w:r>
            <w:r w:rsidR="00011C7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12991,840</w:t>
            </w:r>
            <w:r w:rsidR="001B4140" w:rsidRPr="001B41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)/3)*100=</w:t>
            </w:r>
            <w:r w:rsidR="00011C74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106,97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управления кредиторской задолженностью по расходам 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кредиторской задолженности по расходам ГАБС по состоянию на 1 января года, следующего за отчетным годом</w:t>
            </w:r>
          </w:p>
          <w:p w:rsidR="00641BAB" w:rsidRPr="000C17A4" w:rsidRDefault="00641BAB" w:rsidP="00F600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кредиторская задолженность по расходам на 01.01.202</w:t>
            </w:r>
            <w:r w:rsidR="00F600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оставляет 0 руб.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кредиторской задолженности ГАБС по расчетам по оплате труда по состоянию на 1 января года, следующего за отчетным годом</w:t>
            </w:r>
          </w:p>
          <w:p w:rsidR="000C17A4" w:rsidRPr="000E5C58" w:rsidRDefault="000C17A4" w:rsidP="00F600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кредиторская задолженность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 расчетам по оплате труда на 01.01.202</w:t>
            </w:r>
            <w:r w:rsidR="00F600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 составляет 0руб.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управления </w:t>
            </w: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дебиторской задолженностью по расходам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 – объем просроченной дебиторской задолженности по расходам ГАБС по состоянию на 1 января года, следующего за отчетным годом</w:t>
            </w:r>
          </w:p>
          <w:p w:rsidR="000C17A4" w:rsidRPr="000C17A4" w:rsidRDefault="000C17A4" w:rsidP="00F600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дебиторская задолженность по расходам на 01.01.202</w:t>
            </w:r>
            <w:r w:rsidR="00F600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оставляет 0руб.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суммы бюджетных ассигнований, изменения по которым внесены в сводную бюджетную роспись местного бюджета, в общем объеме бюджетных ассигнований, предусмотренных ГАБС на отчетный финансовый год</w:t>
            </w:r>
          </w:p>
        </w:tc>
        <w:tc>
          <w:tcPr>
            <w:tcW w:w="1544" w:type="dxa"/>
          </w:tcPr>
          <w:p w:rsidR="007D12BF" w:rsidRPr="00556BA0" w:rsidRDefault="00957DED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B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* 100, где:   </w:t>
            </w:r>
          </w:p>
          <w:p w:rsidR="007D12BF" w:rsidRPr="00957DE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сумма положительных и отрицательных (по модулю) изменений, внесенных ГАБС в сводную бюджетную роспись местного бюджета</w:t>
            </w:r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BB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7942,4</w:t>
            </w:r>
            <w:r w:rsidR="00957DED"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957DED"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57DED"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P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общий объем бюджетных ассигнований, предусмотренных ГАБС на отчетный финансовый год (без учета безвозмездных поступлений)</w:t>
            </w:r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01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B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  <w:r w:rsidR="0001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,720</w:t>
            </w:r>
            <w:r w:rsid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 между текущим финансовым годом и плановым периодом в пределах предусмотренного законом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 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</w:t>
            </w:r>
            <w:hyperlink r:id="rId4" w:history="1">
              <w:r w:rsidRPr="000E5C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классификации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бюджетов с последующим внесением изменений в закон о бюджете;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вносимые в связи с перераспределением бюджетных ассигнований ГАБС по разделам, подразделам, целевым статьям и видам расходов бюджета в целях исполнения обязательств местного бюджета;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ассигнований, предусмотренных ГАБС, между видами расходов в пределах общего объема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ассигнований по целевой статье расходов классификации расходов бюджетов в целях исполнения обязательств местного бюджета</w:t>
            </w:r>
          </w:p>
          <w:p w:rsidR="00792355" w:rsidRDefault="00792355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355" w:rsidRPr="002C1B6E" w:rsidRDefault="002C1B6E" w:rsidP="00BB55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BB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7942,4</w:t>
            </w:r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BB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21058,720</w:t>
            </w:r>
            <w:r w:rsidR="00792355"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</w:t>
            </w:r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BB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37,7</w:t>
            </w:r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D12BF" w:rsidRPr="001C53F9" w:rsidTr="00000996">
        <w:tc>
          <w:tcPr>
            <w:tcW w:w="14976" w:type="dxa"/>
            <w:gridSpan w:val="4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Показатели, характеризующие качество управления доходами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налоговым и неналоговым доходам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333AC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333AC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фактическое поступление налоговых и неналоговых доходов в местный бюджет по ГАБС в отчетном финансовом году</w:t>
            </w:r>
            <w:r w:rsidR="002C1B6E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BB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20893,597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792355" w:rsidRPr="00333AC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– уточненный план по налоговым и неналоговым доходам, заявленный ГАБС в отчетном финансовом году </w:t>
            </w:r>
            <w:r w:rsidR="002C1B6E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составляет </w:t>
            </w:r>
            <w:r w:rsidR="00BB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21003,720</w:t>
            </w:r>
            <w:r w:rsidR="000658B8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1B6E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  <w:p w:rsidR="00792355" w:rsidRPr="00333ACD" w:rsidRDefault="00792355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2355" w:rsidRPr="00333ACD" w:rsidRDefault="00792355" w:rsidP="00BB55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="00D82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BB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893</w:t>
            </w:r>
            <w:r w:rsidR="00D82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B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597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BB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21003,720</w:t>
            </w:r>
            <w:r w:rsidR="00333ACD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*100=</w:t>
            </w:r>
            <w:r w:rsidR="00BB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99,5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D12BF" w:rsidRPr="001C53F9" w:rsidTr="00876676">
        <w:trPr>
          <w:trHeight w:val="2160"/>
        </w:trPr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включения налоговых расходов в муниципальные программы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налоговых расходов ГАБС, включенный в муниципальные программы в отчетном финансовом году</w:t>
            </w:r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556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D3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="00AD3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="00AD3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2C1B6E" w:rsidRPr="00AD3A9A" w:rsidRDefault="007D12BF" w:rsidP="00AD3A9A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E5C58">
              <w:rPr>
                <w:rFonts w:eastAsia="Times New Roman"/>
                <w:color w:val="000000" w:themeColor="text1"/>
                <w:lang w:eastAsia="ru-RU"/>
              </w:rPr>
              <w:t>В – общий объем налоговых расходов ГАБС</w:t>
            </w:r>
            <w:r w:rsidR="002C1B6E">
              <w:rPr>
                <w:rFonts w:eastAsia="Times New Roman"/>
                <w:color w:val="000000" w:themeColor="text1"/>
                <w:lang w:eastAsia="ru-RU"/>
              </w:rPr>
              <w:t xml:space="preserve"> составляет </w:t>
            </w:r>
            <w:r w:rsidR="00556BA0"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AD3A9A">
              <w:rPr>
                <w:rFonts w:eastAsia="Times New Roman"/>
                <w:color w:val="000000" w:themeColor="text1"/>
                <w:lang w:eastAsia="ru-RU"/>
              </w:rPr>
              <w:t xml:space="preserve">,00 </w:t>
            </w:r>
            <w:proofErr w:type="spellStart"/>
            <w:r w:rsidR="00AD3A9A">
              <w:rPr>
                <w:rFonts w:eastAsia="Times New Roman"/>
                <w:color w:val="000000" w:themeColor="text1"/>
                <w:lang w:eastAsia="ru-RU"/>
              </w:rPr>
              <w:t>тыс</w:t>
            </w:r>
            <w:proofErr w:type="gramStart"/>
            <w:r w:rsidR="00AD3A9A">
              <w:rPr>
                <w:rFonts w:eastAsia="Times New Roman"/>
                <w:color w:val="000000" w:themeColor="text1"/>
                <w:lang w:eastAsia="ru-RU"/>
              </w:rPr>
              <w:t>.</w:t>
            </w:r>
            <w:r w:rsidR="002C1B6E">
              <w:rPr>
                <w:rFonts w:eastAsia="Times New Roman"/>
                <w:color w:val="000000" w:themeColor="text1"/>
                <w:lang w:eastAsia="ru-RU"/>
              </w:rPr>
              <w:t>р</w:t>
            </w:r>
            <w:proofErr w:type="gramEnd"/>
            <w:r w:rsidR="002C1B6E">
              <w:rPr>
                <w:rFonts w:eastAsia="Times New Roman"/>
                <w:color w:val="000000" w:themeColor="text1"/>
                <w:lang w:eastAsia="ru-RU"/>
              </w:rPr>
              <w:t>уб</w:t>
            </w:r>
            <w:proofErr w:type="spellEnd"/>
            <w:r w:rsidR="00921ECC">
              <w:rPr>
                <w:rFonts w:eastAsia="Times New Roman"/>
                <w:color w:val="000000" w:themeColor="text1"/>
                <w:lang w:eastAsia="ru-RU"/>
              </w:rPr>
              <w:t xml:space="preserve"> (</w:t>
            </w:r>
            <w:r w:rsidR="00AD3A9A" w:rsidRPr="00AD3A9A">
              <w:rPr>
                <w:rFonts w:eastAsia="Times New Roman"/>
                <w:color w:val="000000"/>
                <w:lang w:eastAsia="ru-RU"/>
              </w:rPr>
              <w:t xml:space="preserve">Приложение № 3 к муниципальной программе «Устойчивое развитие территории муниципального образования </w:t>
            </w:r>
            <w:r w:rsidR="000B23CD">
              <w:rPr>
                <w:rFonts w:eastAsia="Times New Roman"/>
                <w:color w:val="000000"/>
                <w:lang w:eastAsia="ru-RU"/>
              </w:rPr>
              <w:t>Курманаевский</w:t>
            </w:r>
            <w:r w:rsidR="00AD3A9A" w:rsidRPr="00AD3A9A">
              <w:rPr>
                <w:rFonts w:eastAsia="Times New Roman"/>
                <w:color w:val="000000"/>
                <w:lang w:eastAsia="ru-RU"/>
              </w:rPr>
              <w:t xml:space="preserve"> сельсовет Курманаевского района Оренбургской области на 2019-2024 годы»</w:t>
            </w:r>
            <w:r w:rsidR="00921ECC" w:rsidRPr="00AD3A9A">
              <w:rPr>
                <w:rFonts w:eastAsia="Times New Roman"/>
                <w:lang w:eastAsia="ru-RU"/>
              </w:rPr>
              <w:t>)</w:t>
            </w:r>
          </w:p>
          <w:p w:rsidR="00921ECC" w:rsidRPr="00921ECC" w:rsidRDefault="00921ECC" w:rsidP="0092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92355" w:rsidRPr="002C1B6E" w:rsidRDefault="002C1B6E" w:rsidP="00AD3A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=100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дебиторской задолженности по доходам ГАБС по состоянию на 1 января года, следующего за отчетным годом</w:t>
            </w:r>
          </w:p>
          <w:p w:rsidR="00921ECC" w:rsidRPr="00921ECC" w:rsidRDefault="00921ECC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E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дебиторская задолженность по доходам составляет 0руб.</w:t>
            </w:r>
          </w:p>
        </w:tc>
      </w:tr>
      <w:tr w:rsidR="007D12BF" w:rsidRPr="001C53F9" w:rsidTr="00000996">
        <w:tc>
          <w:tcPr>
            <w:tcW w:w="14976" w:type="dxa"/>
            <w:gridSpan w:val="4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раскрытие информации в сети Интернет</w:t>
            </w:r>
          </w:p>
        </w:tc>
      </w:tr>
      <w:tr w:rsidR="007D12BF" w:rsidRPr="001C53F9" w:rsidTr="00876676">
        <w:trPr>
          <w:trHeight w:val="555"/>
        </w:trPr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 о реализуемых муниципальных программах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7D12BF" w:rsidRPr="00876676" w:rsidRDefault="007D12BF" w:rsidP="008766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87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876676" w:rsidRDefault="007D12BF" w:rsidP="008766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количество муниципальных программ, размещенных на сайте ГАБС в </w:t>
            </w:r>
            <w:proofErr w:type="spellStart"/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информационно-телекоммуникацион-ной</w:t>
            </w:r>
            <w:proofErr w:type="spellEnd"/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 (далее – сеть Интернет), по которым ГАБС является ответственным исполнителем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6676" w:rsidRPr="00876676" w:rsidRDefault="007D12BF" w:rsidP="00876676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количество муниципальных про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грамм, по которым ГАБС является 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 исполнителем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Муниципальная программа 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0B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Курманаевский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Курманаевского района Оренбургской области на 2019-2024 год» 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876676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.12.2018 № </w:t>
            </w:r>
            <w:r w:rsidR="0049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</w:p>
          <w:p w:rsidR="00921ECC" w:rsidRPr="00921ECC" w:rsidRDefault="00921ECC" w:rsidP="004915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49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49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*100=100</w:t>
            </w:r>
          </w:p>
        </w:tc>
      </w:tr>
      <w:tr w:rsidR="007D12BF" w:rsidRPr="001C53F9" w:rsidTr="00000996">
        <w:tc>
          <w:tcPr>
            <w:tcW w:w="14976" w:type="dxa"/>
            <w:gridSpan w:val="4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Показатели, характеризующие контроль и учет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предоставления бюджетной отчетности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количество месяцев в отчетном финансовом году, по которым бюджетная отчетность представлена позже установленного срока</w:t>
            </w:r>
          </w:p>
          <w:p w:rsidR="00921ECC" w:rsidRPr="00C37653" w:rsidRDefault="00C37653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Годовая бюджетная отчетность представлена </w:t>
            </w:r>
            <w:r w:rsidR="005D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 202</w:t>
            </w:r>
            <w:r w:rsidR="005D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г, </w:t>
            </w:r>
            <w:proofErr w:type="gramStart"/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Приказа</w:t>
            </w:r>
            <w:proofErr w:type="gramEnd"/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финансового отдела </w:t>
            </w:r>
            <w:r w:rsidR="005D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№73-ос от 20.12.2022г.</w:t>
            </w:r>
          </w:p>
          <w:p w:rsidR="00921ECC" w:rsidRPr="00921ECC" w:rsidRDefault="00921ECC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ГАБС</w:t>
            </w:r>
          </w:p>
        </w:tc>
        <w:tc>
          <w:tcPr>
            <w:tcW w:w="1544" w:type="dxa"/>
          </w:tcPr>
          <w:p w:rsidR="007D12BF" w:rsidRPr="001C53F9" w:rsidRDefault="00B945F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сумма, подлежащая взысканию по поступившим с начала финансового года исполнительным документам ГАБС за счет средств местного бюджета в отчетном финансовом году</w:t>
            </w:r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</w:t>
            </w:r>
            <w:r w:rsidR="001F6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4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3847,190</w:t>
            </w:r>
            <w:r w:rsidR="00876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– кассовое исполнение расходов ГАБС в отчетном финансовом году</w:t>
            </w:r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876676">
              <w:t xml:space="preserve"> </w:t>
            </w:r>
            <w:r w:rsidR="005D6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59640,221</w:t>
            </w:r>
            <w:r w:rsidR="00876676" w:rsidRPr="00876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D01E4" w:rsidRDefault="00FD01E4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01E4" w:rsidRPr="00FD01E4" w:rsidRDefault="00FD01E4" w:rsidP="00B945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=</w:t>
            </w:r>
            <w:r w:rsidR="001F6B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46,863</w:t>
            </w:r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B945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59640,221</w:t>
            </w:r>
            <w:r w:rsidR="00876676" w:rsidRPr="008766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*100=</w:t>
            </w:r>
            <w:r w:rsidR="00B945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6,45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санкций органами местного самоуправления Курманаевского района, органами исполнительной власти Оренбургской области в связи с невыполнением условий соглашений, заключенных с органами местного самоуправления Курманаевского района, органами исполнительной власти Оренбургской области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объем средств, взысканный с ГАБС, в результате применения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Курманаевского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исполнительной власти Оренбургской области в связи с невыполнением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соглашений</w:t>
            </w:r>
            <w:r w:rsidR="00FD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0руб</w:t>
            </w:r>
          </w:p>
          <w:p w:rsidR="00FD01E4" w:rsidRPr="00FD01E4" w:rsidRDefault="00FD01E4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Р=0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7D12BF" w:rsidRPr="00693994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4" w:type="dxa"/>
          </w:tcPr>
          <w:p w:rsidR="007D12BF" w:rsidRPr="00693994" w:rsidRDefault="007D12BF" w:rsidP="00B945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9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B94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D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качества </w:t>
      </w:r>
      <w:r w:rsidR="00FD01E4" w:rsidRPr="00FD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менеджмента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Администрации МО </w:t>
      </w:r>
      <w:r w:rsidR="000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следующей формуле: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BF" w:rsidRPr="007D12BF" w:rsidRDefault="001A1CD5" w:rsidP="007D12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oMath/>
          <w:rFonts w:ascii="Cambria Math" w:eastAsia="Times New Roman" w:hAnsi="Cambria Math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O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j=1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ij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 xml:space="preserve"> , 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где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:</m:t>
              </m:r>
            </m:e>
          </m:nary>
        </m:oMath>
      </m:oMathPara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качества ГАБС;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баллов, полученных ГАБС по </w:t>
      </w:r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5</w:t>
      </w:r>
      <w:r w:rsidR="00B945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сложности управления финансами (далее – коэффициент сложности) равен 1;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оценки качества.</w:t>
      </w:r>
    </w:p>
    <w:p w:rsidR="00B30A14" w:rsidRPr="00693994" w:rsidRDefault="00FD01E4" w:rsidP="001C53F9">
      <w:pPr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693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=</w:t>
      </w:r>
      <w:r w:rsidR="00B945F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58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*1=</w:t>
      </w:r>
      <w:r w:rsidR="00AF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</w:t>
      </w:r>
      <w:r w:rsidR="00B945F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8</w:t>
      </w:r>
    </w:p>
    <w:p w:rsidR="00B30A14" w:rsidRPr="00FD01E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Рейтинговая оценка качества определяется по формуле:</w:t>
      </w:r>
    </w:p>
    <w:p w:rsidR="00B30A14" w:rsidRPr="00FD01E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A14" w:rsidRPr="00B30A14" w:rsidRDefault="001A1CD5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max</m:t>
                </m:r>
              </m:sub>
            </m:sSub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m:t>×100,</m:t>
        </m:r>
      </m:oMath>
      <w:r w:rsidR="00B30A14"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30A14"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B30A14"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30A14" w:rsidRP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0A14" w:rsidRP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рейтинговая оценка качества ГАБС;</w:t>
      </w:r>
    </w:p>
    <w:p w:rsidR="00B30A14" w:rsidRP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качества ГАБС;</w:t>
      </w:r>
    </w:p>
    <w:p w:rsid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 возможное количество баллов, которое может получить ГАБС за оценку качества.</w:t>
      </w:r>
    </w:p>
    <w:p w:rsidR="00FD01E4" w:rsidRDefault="00FD01E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E4" w:rsidRPr="00693994" w:rsidRDefault="00FD01E4" w:rsidP="00FD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proofErr w:type="spellStart"/>
      <w:r w:rsidRPr="00693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=</w:t>
      </w:r>
      <w:r w:rsidR="00AF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</w:t>
      </w:r>
      <w:r w:rsidR="00B945F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8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/69*100=</w:t>
      </w:r>
      <w:r w:rsidR="00B945F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84</w:t>
      </w:r>
      <w:proofErr w:type="gramStart"/>
      <w:r w:rsidR="00B945F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,1</w:t>
      </w:r>
      <w:proofErr w:type="gramEnd"/>
    </w:p>
    <w:p w:rsidR="002F1813" w:rsidRPr="00FD01E4" w:rsidRDefault="002F1813" w:rsidP="00FD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14" w:rsidRPr="002F1813" w:rsidRDefault="00FD01E4" w:rsidP="00FD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B30A14"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ровень качества финансового менеджмента в 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МО </w:t>
      </w:r>
      <w:r w:rsidR="000B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Курманаевский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составил </w:t>
      </w:r>
      <w:r w:rsidR="00AF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9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4,1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и означает </w:t>
      </w:r>
      <w:r w:rsidR="00B30A14"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уровень.</w:t>
      </w:r>
    </w:p>
    <w:p w:rsidR="00693994" w:rsidRDefault="00693994" w:rsidP="00AF5346"/>
    <w:p w:rsidR="00693994" w:rsidRPr="00287456" w:rsidRDefault="00AF5346" w:rsidP="00AF5346">
      <w:pPr>
        <w:rPr>
          <w:rFonts w:ascii="Times New Roman" w:hAnsi="Times New Roman" w:cs="Times New Roman"/>
          <w:sz w:val="24"/>
        </w:rPr>
      </w:pPr>
      <w:r>
        <w:t xml:space="preserve">  </w:t>
      </w:r>
      <w:r w:rsidR="00693994" w:rsidRPr="00287456">
        <w:rPr>
          <w:rFonts w:ascii="Times New Roman" w:hAnsi="Times New Roman" w:cs="Times New Roman"/>
          <w:sz w:val="24"/>
        </w:rPr>
        <w:t xml:space="preserve">Исполнитель: </w:t>
      </w:r>
      <w:r w:rsidR="001F6B06">
        <w:rPr>
          <w:rFonts w:ascii="Times New Roman" w:hAnsi="Times New Roman" w:cs="Times New Roman"/>
          <w:sz w:val="24"/>
        </w:rPr>
        <w:t xml:space="preserve">ведущий </w:t>
      </w:r>
      <w:r w:rsidR="006C3B82">
        <w:rPr>
          <w:rFonts w:ascii="Times New Roman" w:hAnsi="Times New Roman" w:cs="Times New Roman"/>
          <w:sz w:val="24"/>
        </w:rPr>
        <w:t xml:space="preserve">специалист </w:t>
      </w:r>
      <w:r w:rsidR="001F6B06">
        <w:rPr>
          <w:rFonts w:ascii="Times New Roman" w:hAnsi="Times New Roman" w:cs="Times New Roman"/>
          <w:sz w:val="24"/>
        </w:rPr>
        <w:t xml:space="preserve">Скурыгина </w:t>
      </w:r>
      <w:r w:rsidR="006C3B82">
        <w:rPr>
          <w:rFonts w:ascii="Times New Roman" w:hAnsi="Times New Roman" w:cs="Times New Roman"/>
          <w:sz w:val="24"/>
        </w:rPr>
        <w:t>И</w:t>
      </w:r>
      <w:r w:rsidR="001F6B06">
        <w:rPr>
          <w:rFonts w:ascii="Times New Roman" w:hAnsi="Times New Roman" w:cs="Times New Roman"/>
          <w:sz w:val="24"/>
        </w:rPr>
        <w:t>.А.</w:t>
      </w:r>
    </w:p>
    <w:sectPr w:rsidR="00693994" w:rsidRPr="00287456" w:rsidSect="001C53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B13"/>
    <w:rsid w:val="00000996"/>
    <w:rsid w:val="00006DF4"/>
    <w:rsid w:val="00011C74"/>
    <w:rsid w:val="000306A9"/>
    <w:rsid w:val="000658B8"/>
    <w:rsid w:val="00070338"/>
    <w:rsid w:val="000B23CD"/>
    <w:rsid w:val="000C17A4"/>
    <w:rsid w:val="000F1DD6"/>
    <w:rsid w:val="001A1CD5"/>
    <w:rsid w:val="001B4140"/>
    <w:rsid w:val="001C53F9"/>
    <w:rsid w:val="001E0B32"/>
    <w:rsid w:val="001F6B06"/>
    <w:rsid w:val="00222A70"/>
    <w:rsid w:val="0027473B"/>
    <w:rsid w:val="00287456"/>
    <w:rsid w:val="002A6C1C"/>
    <w:rsid w:val="002C1B6E"/>
    <w:rsid w:val="002F1813"/>
    <w:rsid w:val="002F7CE4"/>
    <w:rsid w:val="003168F0"/>
    <w:rsid w:val="00333ACD"/>
    <w:rsid w:val="0035121C"/>
    <w:rsid w:val="00364C06"/>
    <w:rsid w:val="003A0012"/>
    <w:rsid w:val="004076E3"/>
    <w:rsid w:val="0044263A"/>
    <w:rsid w:val="0049157B"/>
    <w:rsid w:val="00556BA0"/>
    <w:rsid w:val="0059375E"/>
    <w:rsid w:val="005D6025"/>
    <w:rsid w:val="00641BAB"/>
    <w:rsid w:val="00642FD8"/>
    <w:rsid w:val="00664935"/>
    <w:rsid w:val="00693994"/>
    <w:rsid w:val="006C3B82"/>
    <w:rsid w:val="006C6FA4"/>
    <w:rsid w:val="00792355"/>
    <w:rsid w:val="007C330E"/>
    <w:rsid w:val="007D12BF"/>
    <w:rsid w:val="00835B27"/>
    <w:rsid w:val="00876676"/>
    <w:rsid w:val="00921ECC"/>
    <w:rsid w:val="00957DED"/>
    <w:rsid w:val="0096448B"/>
    <w:rsid w:val="00966644"/>
    <w:rsid w:val="009B776F"/>
    <w:rsid w:val="00A55A94"/>
    <w:rsid w:val="00A70B13"/>
    <w:rsid w:val="00A71517"/>
    <w:rsid w:val="00AD3A9A"/>
    <w:rsid w:val="00AD5AFA"/>
    <w:rsid w:val="00AF5346"/>
    <w:rsid w:val="00B30A14"/>
    <w:rsid w:val="00B945FF"/>
    <w:rsid w:val="00BB559F"/>
    <w:rsid w:val="00C37653"/>
    <w:rsid w:val="00C43C06"/>
    <w:rsid w:val="00D82448"/>
    <w:rsid w:val="00D91F1E"/>
    <w:rsid w:val="00EC7384"/>
    <w:rsid w:val="00F40716"/>
    <w:rsid w:val="00F600FE"/>
    <w:rsid w:val="00FC62F7"/>
    <w:rsid w:val="00FD01E4"/>
    <w:rsid w:val="00FE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09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09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CF25BD20103C3E247B077BAA9DBF753F0E8C9DC53A55B35759D953E676F40EC4729EE69F4D3F041B8FD0243A7B6C9537AE3F8C1F08DA2Eg7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ЗАМГЛАВЫ</cp:lastModifiedBy>
  <cp:revision>2</cp:revision>
  <dcterms:created xsi:type="dcterms:W3CDTF">2023-02-21T08:13:00Z</dcterms:created>
  <dcterms:modified xsi:type="dcterms:W3CDTF">2023-02-21T08:13:00Z</dcterms:modified>
</cp:coreProperties>
</file>