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keepNext w:val="true"/>
        <w:widowControl w:val="false"/>
        <w:tabs>
          <w:tab w:val="left" w:pos="993" w:leader="none"/>
        </w:tabs>
        <w:spacing w:beforeAutospacing="0" w:before="0" w:afterAutospacing="0" w:after="0"/>
        <w:ind w:hanging="0"/>
        <w:contextualSpacing/>
        <w:jc w:val="center"/>
        <w:rPr>
          <w:rStyle w:val="23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keepNext w:val="true"/>
        <w:widowControl w:val="false"/>
        <w:tabs>
          <w:tab w:val="left" w:pos="993" w:leader="none"/>
        </w:tabs>
        <w:spacing w:beforeAutospacing="0" w:before="0" w:afterAutospacing="0" w:after="0"/>
        <w:ind w:left="34" w:hanging="0"/>
        <w:contextualSpacing/>
        <w:jc w:val="center"/>
        <w:rPr/>
      </w:pPr>
      <w:r>
        <w:rPr>
          <w:rStyle w:val="23"/>
          <w:b/>
          <w:sz w:val="28"/>
          <w:szCs w:val="28"/>
        </w:rPr>
        <w:t xml:space="preserve">Информационное письмо </w:t>
      </w:r>
    </w:p>
    <w:p>
      <w:pPr>
        <w:pStyle w:val="NormalWeb"/>
        <w:keepNext w:val="true"/>
        <w:widowControl w:val="false"/>
        <w:tabs>
          <w:tab w:val="left" w:pos="993" w:leader="none"/>
        </w:tabs>
        <w:spacing w:beforeAutospacing="0" w:before="0" w:afterAutospacing="0" w:after="0"/>
        <w:ind w:left="34" w:hanging="0"/>
        <w:contextualSpacing/>
        <w:jc w:val="center"/>
        <w:rPr>
          <w:rStyle w:val="23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keepNext w:val="true"/>
        <w:widowControl w:val="false"/>
        <w:tabs>
          <w:tab w:val="left" w:pos="993" w:leader="none"/>
        </w:tabs>
        <w:spacing w:beforeAutospacing="0" w:before="0" w:afterAutospacing="0" w:after="0"/>
        <w:ind w:left="34" w:firstLine="675"/>
        <w:contextualSpacing/>
        <w:jc w:val="both"/>
        <w:rPr>
          <w:b/>
          <w:b/>
          <w:sz w:val="28"/>
          <w:szCs w:val="28"/>
        </w:rPr>
      </w:pPr>
      <w:r>
        <w:rPr>
          <w:rStyle w:val="23"/>
          <w:sz w:val="28"/>
          <w:szCs w:val="28"/>
        </w:rPr>
        <w:t xml:space="preserve">В 2020 году в рамках регионального проекта «Старшее поколение»  национального проекта «Демография»  служба занятости организует профессиональное обучение и дополнительное профессиональное образование </w:t>
      </w:r>
      <w:r>
        <w:rPr>
          <w:rStyle w:val="23"/>
          <w:b/>
          <w:sz w:val="28"/>
          <w:szCs w:val="28"/>
        </w:rPr>
        <w:t>лиц</w:t>
      </w:r>
      <w:r>
        <w:rPr>
          <w:rStyle w:val="23"/>
          <w:sz w:val="28"/>
          <w:szCs w:val="28"/>
        </w:rPr>
        <w:t xml:space="preserve"> </w:t>
      </w:r>
      <w:r>
        <w:rPr>
          <w:b/>
          <w:sz w:val="28"/>
          <w:szCs w:val="28"/>
        </w:rPr>
        <w:t>в возрасте 50 лет и старше, а также лиц предпенсионного возраста.</w:t>
      </w:r>
    </w:p>
    <w:p>
      <w:pPr>
        <w:pStyle w:val="NormalWeb"/>
        <w:spacing w:beforeAutospacing="0" w:before="0" w:afterAutospacing="0" w:after="80"/>
        <w:ind w:firstLine="708"/>
        <w:jc w:val="both"/>
        <w:rPr>
          <w:rFonts w:eastAsia="Arial Unicode MS"/>
          <w:sz w:val="12"/>
          <w:szCs w:val="12"/>
        </w:rPr>
      </w:pPr>
      <w:r>
        <w:rPr>
          <w:rFonts w:eastAsia="Arial Unicode MS"/>
          <w:sz w:val="12"/>
          <w:szCs w:val="12"/>
        </w:rPr>
      </w:r>
    </w:p>
    <w:p>
      <w:pPr>
        <w:pStyle w:val="NormalWeb"/>
        <w:spacing w:beforeAutospacing="0" w:before="0" w:afterAutospacing="0" w:after="80"/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Обучение для граждан бесплатно!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период обучения </w:t>
      </w:r>
      <w:r>
        <w:rPr>
          <w:b/>
          <w:color w:val="000000"/>
          <w:sz w:val="28"/>
          <w:szCs w:val="28"/>
        </w:rPr>
        <w:t>незанятые</w:t>
      </w:r>
      <w:r>
        <w:rPr>
          <w:color w:val="000000"/>
          <w:sz w:val="28"/>
          <w:szCs w:val="28"/>
        </w:rPr>
        <w:t xml:space="preserve"> граждане в возрасте от 50-ти лет и старше, </w:t>
      </w:r>
      <w:r>
        <w:rPr>
          <w:b/>
          <w:color w:val="000000"/>
          <w:sz w:val="28"/>
          <w:szCs w:val="28"/>
        </w:rPr>
        <w:t>не получающие пенсию</w:t>
      </w:r>
      <w:r>
        <w:rPr>
          <w:color w:val="000000"/>
          <w:sz w:val="28"/>
          <w:szCs w:val="28"/>
        </w:rPr>
        <w:t>,  а также лица предпенсионного возраста, будут получать стипендию в размере МРОТ с уральским коэффициентом (13949,5 руб.).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tabs>
          <w:tab w:val="left" w:pos="1134" w:leader="none"/>
        </w:tabs>
        <w:spacing w:beforeAutospacing="0" w:before="0" w:afterAutospacing="0" w:after="0"/>
        <w:ind w:firstLine="709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Профессии для обучения</w:t>
      </w:r>
    </w:p>
    <w:p>
      <w:pPr>
        <w:pStyle w:val="NormalWeb"/>
        <w:tabs>
          <w:tab w:val="left" w:pos="1134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Обучение проводится по востребованным на рынке труда профессиям:  </w:t>
      </w:r>
      <w:r>
        <w:rPr>
          <w:sz w:val="28"/>
          <w:szCs w:val="28"/>
        </w:rPr>
        <w:t>машинисты бульдозера, трактористы водители различных категорий,  электромонтажники, аппаратчики химводоочистки, слесари по ремонту и обслуживанию газового оборудования, слесари по контрольно-измерительным приборам и автоматике,  машинисты насосных установок, электромонтеры 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Возможно повышение квалификации медицинских, педагогических работников, библиотекарей, специалистов кадровых служб,  руководителей организаций и др.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затруднения с выбором профессии Вам поможет квалифицированный специалист центра занятости населения.</w:t>
      </w:r>
    </w:p>
    <w:p>
      <w:pPr>
        <w:pStyle w:val="NormalWeb"/>
        <w:tabs>
          <w:tab w:val="left" w:pos="1134" w:leader="none"/>
        </w:tabs>
        <w:spacing w:beforeAutospacing="0" w:before="0" w:afterAutospacing="0" w:after="0"/>
        <w:ind w:firstLine="709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Web"/>
        <w:tabs>
          <w:tab w:val="left" w:pos="1134" w:leader="none"/>
        </w:tabs>
        <w:spacing w:beforeAutospacing="0" w:before="0" w:afterAutospacing="0" w:after="0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tabs>
          <w:tab w:val="left" w:pos="1134" w:leader="none"/>
        </w:tabs>
        <w:spacing w:beforeAutospacing="0" w:before="0" w:afterAutospacing="0" w:after="0"/>
        <w:ind w:firstLine="709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Обучающие организации</w:t>
      </w:r>
    </w:p>
    <w:p>
      <w:pPr>
        <w:pStyle w:val="NormalWeb"/>
        <w:tabs>
          <w:tab w:val="left" w:pos="1134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качестве обучающей организации</w:t>
      </w:r>
      <w:r>
        <w:rPr>
          <w:sz w:val="28"/>
          <w:szCs w:val="28"/>
        </w:rPr>
        <w:t xml:space="preserve"> могут выступать как образовательные организации области, так и других регионов.</w:t>
      </w:r>
    </w:p>
    <w:p>
      <w:pPr>
        <w:pStyle w:val="NormalWeb"/>
        <w:tabs>
          <w:tab w:val="left" w:pos="1134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  условие – наличие лицензии на право осуществления образовательной деятельности по видам: профессиональное обучение, дополнительное профессиональное образование.</w:t>
      </w:r>
    </w:p>
    <w:p>
      <w:pPr>
        <w:pStyle w:val="NormalWeb"/>
        <w:tabs>
          <w:tab w:val="left" w:pos="1134" w:leader="none"/>
        </w:tabs>
        <w:spacing w:beforeAutospacing="0" w:before="0" w:afterAutospacing="0" w:after="80"/>
        <w:ind w:firstLine="709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Web"/>
        <w:tabs>
          <w:tab w:val="left" w:pos="1134" w:leader="none"/>
        </w:tabs>
        <w:spacing w:beforeAutospacing="0" w:before="0" w:afterAutospacing="0" w:after="80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Средний срок</w:t>
      </w:r>
      <w:r>
        <w:rPr>
          <w:b/>
          <w:sz w:val="28"/>
          <w:szCs w:val="28"/>
        </w:rPr>
        <w:t xml:space="preserve">  составляет 3 месяца. Обучение курсовое.</w:t>
      </w:r>
    </w:p>
    <w:p>
      <w:pPr>
        <w:pStyle w:val="NormalWeb"/>
        <w:tabs>
          <w:tab w:val="left" w:pos="1134" w:leader="none"/>
        </w:tabs>
        <w:spacing w:beforeAutospacing="0" w:before="0" w:afterAutospacing="0" w:after="80"/>
        <w:ind w:firstLine="709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Web"/>
        <w:tabs>
          <w:tab w:val="left" w:pos="1134" w:leader="none"/>
        </w:tabs>
        <w:spacing w:beforeAutospacing="0" w:before="0" w:afterAutospacing="0" w:after="80"/>
        <w:ind w:firstLine="709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Формы обучения </w:t>
      </w:r>
    </w:p>
    <w:p>
      <w:pPr>
        <w:pStyle w:val="NormalWeb"/>
        <w:tabs>
          <w:tab w:val="left" w:pos="1134" w:leader="none"/>
        </w:tabs>
        <w:spacing w:beforeAutospacing="0" w:before="0" w:afterAutospacing="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Подбирается  </w:t>
      </w:r>
      <w:r>
        <w:rPr>
          <w:b/>
          <w:sz w:val="28"/>
          <w:szCs w:val="28"/>
        </w:rPr>
        <w:t>удобная форма обучения (очная, заочная, очно-заочная).</w:t>
      </w:r>
      <w:r>
        <w:rPr>
          <w:sz w:val="28"/>
          <w:szCs w:val="28"/>
        </w:rPr>
        <w:t xml:space="preserve">  Возможно обучение с применением дистанционных образовательных технологий.</w:t>
      </w:r>
    </w:p>
    <w:p>
      <w:pPr>
        <w:pStyle w:val="NormalWeb"/>
        <w:spacing w:beforeAutospacing="0" w:before="0" w:afterAutospacing="0" w:after="80"/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</w:p>
    <w:p>
      <w:pPr>
        <w:pStyle w:val="NormalWeb"/>
        <w:tabs>
          <w:tab w:val="left" w:pos="1134" w:leader="none"/>
        </w:tabs>
        <w:spacing w:beforeAutospacing="0" w:before="0" w:afterAutospacing="0" w:after="80"/>
        <w:ind w:firstLine="709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Механизмы обучения</w:t>
      </w:r>
    </w:p>
    <w:p>
      <w:pPr>
        <w:pStyle w:val="NormalWeb"/>
        <w:spacing w:beforeAutospacing="0" w:before="0" w:afterAutospacing="0" w:after="80"/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Центры занятости населения организуют обучение как работающих, так и неработающих граждан.</w:t>
      </w:r>
    </w:p>
    <w:p>
      <w:pPr>
        <w:pStyle w:val="NormalWeb"/>
        <w:tabs>
          <w:tab w:val="left" w:pos="1134" w:leader="none"/>
        </w:tabs>
        <w:spacing w:beforeAutospacing="0" w:before="0" w:afterAutospacing="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своих работников может организовать работодатель и получить компенсацию затрат на обучение. </w:t>
      </w:r>
    </w:p>
    <w:p>
      <w:pPr>
        <w:pStyle w:val="NormalWeb"/>
        <w:tabs>
          <w:tab w:val="left" w:pos="1134" w:leader="none"/>
        </w:tabs>
        <w:spacing w:beforeAutospacing="0" w:before="0" w:afterAutospacing="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80"/>
        <w:ind w:firstLine="708"/>
        <w:jc w:val="both"/>
        <w:rPr>
          <w:rFonts w:eastAsia="Arial Unicode MS"/>
          <w:b/>
          <w:b/>
          <w:sz w:val="28"/>
          <w:szCs w:val="28"/>
        </w:rPr>
      </w:pPr>
      <w:r>
        <w:rPr>
          <w:rFonts w:eastAsia="Arial Unicode MS"/>
          <w:b/>
          <w:sz w:val="28"/>
          <w:szCs w:val="28"/>
          <w:u w:val="single"/>
        </w:rPr>
        <w:t>Документы о квалификации,</w:t>
      </w:r>
      <w:r>
        <w:rPr>
          <w:rFonts w:eastAsia="Arial Unicode MS"/>
          <w:b/>
          <w:sz w:val="28"/>
          <w:szCs w:val="28"/>
        </w:rPr>
        <w:t xml:space="preserve"> выдаваемые по окончании обучения и успешном прохождении итоговой аттестации: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Свидетельство и профессии рабочего, должности служащего,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Удостоверение о повышении квалификации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Диплом о профессиональной переподготовке.</w:t>
      </w:r>
    </w:p>
    <w:p>
      <w:pPr>
        <w:pStyle w:val="NormalWeb"/>
        <w:tabs>
          <w:tab w:val="left" w:pos="1134" w:leader="none"/>
        </w:tabs>
        <w:spacing w:beforeAutospacing="0" w:before="0" w:afterAutospacing="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left" w:pos="1134" w:leader="none"/>
        </w:tabs>
        <w:spacing w:beforeAutospacing="0" w:before="0" w:afterAutospacing="0" w:after="80"/>
        <w:ind w:firstLine="709"/>
        <w:jc w:val="both"/>
        <w:rPr/>
      </w:pPr>
      <w:r>
        <w:rPr>
          <w:sz w:val="28"/>
          <w:szCs w:val="28"/>
        </w:rPr>
        <w:t>По вопросам организации обучения обращаться в ГКУ «ЦЗН Курманаевского р-на»</w:t>
      </w:r>
    </w:p>
    <w:p>
      <w:pPr>
        <w:pStyle w:val="NormalWeb"/>
        <w:tabs>
          <w:tab w:val="left" w:pos="1134" w:leader="none"/>
        </w:tabs>
        <w:spacing w:beforeAutospacing="0" w:before="0" w:afterAutospacing="0" w:after="80"/>
        <w:ind w:firstLine="709"/>
        <w:jc w:val="both"/>
        <w:rPr/>
      </w:pPr>
      <w:r>
        <w:rPr>
          <w:sz w:val="28"/>
          <w:szCs w:val="28"/>
          <w:u w:val="single"/>
          <w:lang w:val="en-US"/>
        </w:rPr>
        <w:t>Контактный телефон: 2-22-47</w:t>
      </w:r>
    </w:p>
    <w:p>
      <w:pPr>
        <w:pStyle w:val="NormalWeb"/>
        <w:tabs>
          <w:tab w:val="left" w:pos="1134" w:leader="none"/>
        </w:tabs>
        <w:spacing w:beforeAutospacing="0" w:before="0" w:afterAutospacing="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left" w:pos="1134" w:leader="none"/>
        </w:tabs>
        <w:spacing w:beforeAutospacing="0" w:before="0" w:afterAutospacing="0" w:after="80"/>
        <w:ind w:firstLine="709"/>
        <w:jc w:val="both"/>
        <w:rPr/>
      </w:pPr>
      <w:r>
        <w:rPr/>
      </w:r>
    </w:p>
    <w:sectPr>
      <w:type w:val="nextPage"/>
      <w:pgSz w:w="11906" w:h="16838"/>
      <w:pgMar w:left="851" w:right="850" w:header="0" w:top="709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20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3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link w:val="aa"/>
    <w:uiPriority w:val="99"/>
    <w:qFormat/>
    <w:rPr/>
  </w:style>
  <w:style w:type="character" w:styleId="Style9" w:customStyle="1">
    <w:name w:val="Нижний колонтитул Знак"/>
    <w:basedOn w:val="DefaultParagraphFont"/>
    <w:link w:val="ac"/>
    <w:uiPriority w:val="99"/>
    <w:qFormat/>
    <w:rPr/>
  </w:style>
  <w:style w:type="character" w:styleId="Style10" w:customStyle="1">
    <w:name w:val="Текст сноски Знак"/>
    <w:link w:val="af"/>
    <w:uiPriority w:val="99"/>
    <w:qFormat/>
    <w:rPr>
      <w:sz w:val="18"/>
    </w:rPr>
  </w:style>
  <w:style w:type="character" w:styleId="Style11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2" w:customStyle="1">
    <w:name w:val="Основной текст_"/>
    <w:basedOn w:val="DefaultParagraphFont"/>
    <w:link w:val="42"/>
    <w:qFormat/>
    <w:rPr>
      <w:rFonts w:ascii="Times New Roman" w:hAnsi="Times New Roman" w:eastAsia="Times New Roman" w:cs="Times New Roman"/>
      <w:spacing w:val="-2"/>
      <w:shd w:fill="FFFFFF" w:val="clear"/>
    </w:rPr>
  </w:style>
  <w:style w:type="character" w:styleId="23" w:customStyle="1">
    <w:name w:val="Основной текст2"/>
    <w:basedOn w:val="Style12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-2"/>
      <w:sz w:val="22"/>
      <w:szCs w:val="22"/>
      <w:shd w:fill="FFFFFF" w:val="clear"/>
      <w:lang w:val="ru-RU" w:eastAsia="ru-RU" w:bidi="ru-RU"/>
    </w:rPr>
  </w:style>
  <w:style w:type="character" w:styleId="Style13" w:customStyle="1">
    <w:name w:val="Обычный (веб) Знак"/>
    <w:link w:val="af4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Абзац списка Знак"/>
    <w:link w:val="af6"/>
    <w:uiPriority w:val="34"/>
    <w:qFormat/>
    <w:rPr/>
  </w:style>
  <w:style w:type="character" w:styleId="Style15" w:customStyle="1">
    <w:name w:val="Текст выноски Знак"/>
    <w:basedOn w:val="DefaultParagraphFont"/>
    <w:link w:val="af8"/>
    <w:uiPriority w:val="99"/>
    <w:semiHidden/>
    <w:qFormat/>
    <w:rPr>
      <w:rFonts w:ascii="Tahoma" w:hAnsi="Tahoma" w:cs="Tahoma"/>
      <w:sz w:val="16"/>
      <w:szCs w:val="16"/>
    </w:rPr>
  </w:style>
  <w:style w:type="character" w:styleId="Style16">
    <w:name w:val="Интернет-ссылка"/>
    <w:basedOn w:val="DefaultParagraphFont"/>
    <w:uiPriority w:val="99"/>
    <w:semiHidden/>
    <w:unhideWhenUsed/>
    <w:rPr>
      <w:color w:val="000080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"/>
      <w:sz w:val="22"/>
      <w:szCs w:val="22"/>
      <w:u w:val="none"/>
      <w:lang w:val="ru-RU" w:eastAsia="ru-RU" w:bidi="ru-RU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b w:val="false"/>
      <w:i w:val="false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Times New Roman"/>
      <w:sz w:val="28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Style22">
    <w:name w:val="Title"/>
    <w:basedOn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3">
    <w:name w:val="Subtitle"/>
    <w:basedOn w:val="Normal"/>
    <w:link w:val="a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4">
    <w:name w:val="Header"/>
    <w:basedOn w:val="Normal"/>
    <w:link w:val="ab"/>
    <w:uiPriority w:val="99"/>
    <w:unhideWhenUsed/>
    <w:pPr>
      <w:tabs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d"/>
    <w:uiPriority w:val="99"/>
    <w:unhideWhenUsed/>
    <w:pPr>
      <w:tabs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6">
    <w:name w:val="Footnote Text"/>
    <w:basedOn w:val="Normal"/>
    <w:link w:val="af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4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43" w:customStyle="1">
    <w:name w:val="Основной текст4"/>
    <w:basedOn w:val="Normal"/>
    <w:link w:val="af3"/>
    <w:qFormat/>
    <w:pPr>
      <w:widowControl w:val="false"/>
      <w:shd w:val="clear" w:color="auto" w:fill="FFFFFF"/>
      <w:spacing w:lineRule="exact" w:line="266" w:before="180" w:after="0"/>
      <w:jc w:val="both"/>
    </w:pPr>
    <w:rPr>
      <w:rFonts w:ascii="Times New Roman" w:hAnsi="Times New Roman" w:eastAsia="Times New Roman" w:cs="Times New Roman"/>
      <w:spacing w:val="-2"/>
    </w:rPr>
  </w:style>
  <w:style w:type="paragraph" w:styleId="NormalWeb">
    <w:name w:val="Normal (Web)"/>
    <w:basedOn w:val="Normal"/>
    <w:link w:val="af5"/>
    <w:uiPriority w:val="99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link w:val="af7"/>
    <w:uiPriority w:val="34"/>
    <w:qFormat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f9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LibreOffice/6.0.6.1$Linux_X86_64 LibreOffice_project/00$Build-1</Application>
  <Pages>2</Pages>
  <Words>255</Words>
  <Characters>1973</Characters>
  <CharactersWithSpaces>2222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2020-01-14T12:58:00Z</dcterms:created>
  <dc:creator>Bernikova</dc:creator>
  <dc:description/>
  <dc:language>ru-RU</dc:language>
  <cp:lastModifiedBy/>
  <dcterms:modified xsi:type="dcterms:W3CDTF">2020-02-11T16:02:48Z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