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66" w:rsidRPr="00CC094C" w:rsidRDefault="00902666" w:rsidP="0090266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CC094C">
        <w:rPr>
          <w:rFonts w:ascii="Times New Roman" w:eastAsia="PT Serif" w:hAnsi="Times New Roman" w:cs="Times New Roman"/>
          <w:b/>
          <w:color w:val="222222"/>
          <w:sz w:val="28"/>
          <w:szCs w:val="28"/>
        </w:rPr>
        <w:t>Об уголовной ответственности для иностранных агентов за нарушение порядка их деятельности</w:t>
      </w:r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Федеральным законом от 29.12.2022 № 582-ФЗ «О внесении изменений в статьи 239 и 330.1 Уголовного кодекса Российской Федерации» (далее – УК РФ) для иностранных агентов введена уголовная ответственность за нарушение порядка их деятельности.</w:t>
      </w:r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Теперь иностранные агенты, нарушившие порядок своей деятельности, привлеченные дважды в течение года к административной ответственности за совершение любого из административных правонарушений, предусмотренных ч.ч. 2 – 9 ст. 19.34 Кодекса Российской Федерации об административных правонарушениях (далее – </w:t>
      </w:r>
      <w:proofErr w:type="spell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КоАП</w:t>
      </w:r>
      <w:proofErr w:type="spellEnd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 РФ), подлежат уголовной ответственности по ч. 2 ст. 330.1 УК РФ.</w:t>
      </w:r>
      <w:proofErr w:type="gramEnd"/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К примеру, если иностранным агентом распространены предназначенные для неограниченного круга лиц печатные, аудио-, аудиовизуальные и иные сообщения и материалы (в том числе с использованием информационно-телекоммуникационной сети «Интернет»), без указания на то, что эти материалы (информация) произведены, распространены и (или) направлены иностранным агентом, его действия образуют состав административного правонарушения, предусмотренного ч. 4 ст. 19.34 </w:t>
      </w:r>
      <w:proofErr w:type="spell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КоАП</w:t>
      </w:r>
      <w:proofErr w:type="spellEnd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 РФ.</w:t>
      </w:r>
      <w:proofErr w:type="gramEnd"/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Повторное совершение аналогичных действий в течение года вновь подлежит квалификации по </w:t>
      </w:r>
      <w:proofErr w:type="gram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ч</w:t>
      </w:r>
      <w:proofErr w:type="gramEnd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. 4 ст. 19.34 </w:t>
      </w:r>
      <w:proofErr w:type="spell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КоАП</w:t>
      </w:r>
      <w:proofErr w:type="spellEnd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 РФ.</w:t>
      </w:r>
    </w:p>
    <w:p w:rsidR="00902666" w:rsidRPr="00CC094C" w:rsidRDefault="00902666" w:rsidP="00902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Допущенные лицом в третий раз подобные деяния влекут за собой уголовную ответственность по </w:t>
      </w:r>
      <w:proofErr w:type="gramStart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ч</w:t>
      </w:r>
      <w:proofErr w:type="gramEnd"/>
      <w:r w:rsidRPr="00CC094C">
        <w:rPr>
          <w:rFonts w:ascii="Times New Roman" w:eastAsia="PT Sans" w:hAnsi="Times New Roman" w:cs="Times New Roman"/>
          <w:color w:val="222222"/>
          <w:sz w:val="28"/>
          <w:szCs w:val="28"/>
        </w:rPr>
        <w:t>. 2 ст. 330.1 УК РФ с максимальным наказанием в виде двух лет лишения свободы.</w:t>
      </w:r>
    </w:p>
    <w:p w:rsidR="00AD63CC" w:rsidRDefault="00AD63CC"/>
    <w:sectPr w:rsidR="00AD63CC" w:rsidSect="00AD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66"/>
    <w:rsid w:val="001C0540"/>
    <w:rsid w:val="00902666"/>
    <w:rsid w:val="00AD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</cp:revision>
  <dcterms:created xsi:type="dcterms:W3CDTF">2024-06-28T11:54:00Z</dcterms:created>
  <dcterms:modified xsi:type="dcterms:W3CDTF">2024-06-28T11:54:00Z</dcterms:modified>
</cp:coreProperties>
</file>