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660"/>
        <w:tblW w:w="3960" w:type="dxa"/>
        <w:tblLook w:val="04A0"/>
      </w:tblPr>
      <w:tblGrid>
        <w:gridCol w:w="3960"/>
      </w:tblGrid>
      <w:tr w:rsidR="000923D9" w:rsidTr="000923D9">
        <w:trPr>
          <w:trHeight w:val="1560"/>
        </w:trPr>
        <w:tc>
          <w:tcPr>
            <w:tcW w:w="3960" w:type="dxa"/>
          </w:tcPr>
          <w:p w:rsidR="000923D9" w:rsidRDefault="000923D9">
            <w:pPr>
              <w:tabs>
                <w:tab w:val="left" w:pos="225"/>
              </w:tabs>
              <w:ind w:right="-111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bookmark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 </w:t>
            </w:r>
          </w:p>
          <w:p w:rsidR="000923D9" w:rsidRDefault="000923D9">
            <w:pPr>
              <w:tabs>
                <w:tab w:val="left" w:pos="225"/>
              </w:tabs>
              <w:ind w:right="-111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63487E" w:rsidRPr="0063487E" w:rsidRDefault="0063487E">
            <w:pPr>
              <w:tabs>
                <w:tab w:val="left" w:pos="225"/>
              </w:tabs>
              <w:ind w:right="-111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Курманаевского сельсовета</w:t>
            </w:r>
          </w:p>
          <w:p w:rsidR="000923D9" w:rsidRPr="0063487E" w:rsidRDefault="000923D9">
            <w:pPr>
              <w:tabs>
                <w:tab w:val="left" w:pos="225"/>
              </w:tabs>
              <w:ind w:right="-111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6348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С.Е.Дерюгин</w:t>
            </w:r>
          </w:p>
          <w:p w:rsidR="000923D9" w:rsidRDefault="000923D9">
            <w:pPr>
              <w:tabs>
                <w:tab w:val="left" w:pos="225"/>
              </w:tabs>
              <w:ind w:right="-111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«_____»___________2013г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0923D9" w:rsidRDefault="000923D9">
            <w:pPr>
              <w:tabs>
                <w:tab w:val="left" w:pos="225"/>
              </w:tabs>
              <w:ind w:right="-1116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0923D9" w:rsidRDefault="000923D9" w:rsidP="000923D9">
      <w:pPr>
        <w:pStyle w:val="10"/>
        <w:keepNext/>
        <w:keepLines/>
        <w:shd w:val="clear" w:color="auto" w:fill="auto"/>
        <w:jc w:val="left"/>
        <w:rPr>
          <w:lang w:val="ru-RU"/>
        </w:rPr>
      </w:pPr>
    </w:p>
    <w:p w:rsidR="000923D9" w:rsidRDefault="000923D9" w:rsidP="000923D9">
      <w:pPr>
        <w:pStyle w:val="10"/>
        <w:keepNext/>
        <w:keepLines/>
        <w:shd w:val="clear" w:color="auto" w:fill="auto"/>
        <w:ind w:left="80"/>
        <w:jc w:val="right"/>
        <w:rPr>
          <w:lang w:val="ru-RU"/>
        </w:rPr>
      </w:pPr>
    </w:p>
    <w:p w:rsidR="000923D9" w:rsidRDefault="000923D9" w:rsidP="000923D9">
      <w:pPr>
        <w:pStyle w:val="10"/>
        <w:keepNext/>
        <w:keepLines/>
        <w:shd w:val="clear" w:color="auto" w:fill="auto"/>
        <w:ind w:left="80"/>
        <w:jc w:val="right"/>
        <w:rPr>
          <w:lang w:val="ru-RU"/>
        </w:rPr>
      </w:pPr>
    </w:p>
    <w:p w:rsidR="000923D9" w:rsidRDefault="000923D9" w:rsidP="000923D9">
      <w:pPr>
        <w:pStyle w:val="10"/>
        <w:keepNext/>
        <w:keepLines/>
        <w:shd w:val="clear" w:color="auto" w:fill="auto"/>
        <w:ind w:left="80"/>
        <w:jc w:val="right"/>
        <w:rPr>
          <w:lang w:val="ru-RU"/>
        </w:rPr>
      </w:pPr>
    </w:p>
    <w:p w:rsidR="000923D9" w:rsidRDefault="000923D9" w:rsidP="000923D9">
      <w:pPr>
        <w:pStyle w:val="10"/>
        <w:keepNext/>
        <w:keepLines/>
        <w:shd w:val="clear" w:color="auto" w:fill="auto"/>
        <w:ind w:left="80"/>
        <w:jc w:val="right"/>
        <w:rPr>
          <w:lang w:val="ru-RU"/>
        </w:rPr>
      </w:pPr>
    </w:p>
    <w:p w:rsidR="000923D9" w:rsidRDefault="000923D9" w:rsidP="000923D9">
      <w:pPr>
        <w:pStyle w:val="10"/>
        <w:keepNext/>
        <w:keepLines/>
        <w:shd w:val="clear" w:color="auto" w:fill="auto"/>
        <w:ind w:left="80"/>
        <w:jc w:val="right"/>
        <w:rPr>
          <w:lang w:val="ru-RU"/>
        </w:rPr>
      </w:pPr>
    </w:p>
    <w:p w:rsidR="000923D9" w:rsidRDefault="000923D9" w:rsidP="00B50958">
      <w:pPr>
        <w:pStyle w:val="10"/>
        <w:keepNext/>
        <w:keepLines/>
        <w:shd w:val="clear" w:color="auto" w:fill="auto"/>
        <w:jc w:val="left"/>
        <w:rPr>
          <w:lang w:val="ru-RU"/>
        </w:rPr>
      </w:pPr>
    </w:p>
    <w:p w:rsidR="000923D9" w:rsidRDefault="000923D9" w:rsidP="000923D9">
      <w:pPr>
        <w:pStyle w:val="10"/>
        <w:keepNext/>
        <w:keepLines/>
        <w:shd w:val="clear" w:color="auto" w:fill="auto"/>
        <w:ind w:left="80"/>
        <w:jc w:val="right"/>
        <w:rPr>
          <w:lang w:val="ru-RU"/>
        </w:rPr>
      </w:pPr>
    </w:p>
    <w:p w:rsidR="00B50958" w:rsidRDefault="00B50958" w:rsidP="000923D9">
      <w:pPr>
        <w:pStyle w:val="10"/>
        <w:keepNext/>
        <w:keepLines/>
        <w:shd w:val="clear" w:color="auto" w:fill="auto"/>
        <w:ind w:left="80"/>
        <w:rPr>
          <w:lang w:val="ru-RU"/>
        </w:rPr>
      </w:pPr>
    </w:p>
    <w:p w:rsidR="00B50958" w:rsidRDefault="00B50958" w:rsidP="000923D9">
      <w:pPr>
        <w:pStyle w:val="10"/>
        <w:keepNext/>
        <w:keepLines/>
        <w:shd w:val="clear" w:color="auto" w:fill="auto"/>
        <w:ind w:left="80"/>
        <w:rPr>
          <w:lang w:val="ru-RU"/>
        </w:rPr>
      </w:pPr>
    </w:p>
    <w:p w:rsidR="00B50958" w:rsidRDefault="00B50958" w:rsidP="000923D9">
      <w:pPr>
        <w:pStyle w:val="10"/>
        <w:keepNext/>
        <w:keepLines/>
        <w:shd w:val="clear" w:color="auto" w:fill="auto"/>
        <w:ind w:left="80"/>
        <w:rPr>
          <w:lang w:val="ru-RU"/>
        </w:rPr>
      </w:pPr>
    </w:p>
    <w:p w:rsidR="00B50958" w:rsidRDefault="00B50958" w:rsidP="000923D9">
      <w:pPr>
        <w:pStyle w:val="10"/>
        <w:keepNext/>
        <w:keepLines/>
        <w:shd w:val="clear" w:color="auto" w:fill="auto"/>
        <w:ind w:left="80"/>
        <w:rPr>
          <w:lang w:val="ru-RU"/>
        </w:rPr>
      </w:pPr>
    </w:p>
    <w:p w:rsidR="002A7200" w:rsidRDefault="008152D7" w:rsidP="000923D9">
      <w:pPr>
        <w:pStyle w:val="10"/>
        <w:keepNext/>
        <w:keepLines/>
        <w:shd w:val="clear" w:color="auto" w:fill="auto"/>
        <w:ind w:left="80"/>
      </w:pPr>
      <w:r>
        <w:t>ПАМЯТКА</w:t>
      </w:r>
      <w:bookmarkEnd w:id="0"/>
    </w:p>
    <w:p w:rsidR="002A7200" w:rsidRDefault="000923D9" w:rsidP="0063487E">
      <w:pPr>
        <w:pStyle w:val="20"/>
        <w:shd w:val="clear" w:color="auto" w:fill="auto"/>
        <w:ind w:left="80"/>
        <w:rPr>
          <w:lang w:val="ru-RU"/>
        </w:rPr>
      </w:pPr>
      <w:r>
        <w:rPr>
          <w:lang w:val="ru-RU"/>
        </w:rPr>
        <w:t>муниципальным сл</w:t>
      </w:r>
      <w:r w:rsidR="008152D7">
        <w:t xml:space="preserve">ужащим </w:t>
      </w:r>
      <w:r>
        <w:rPr>
          <w:lang w:val="ru-RU"/>
        </w:rPr>
        <w:t xml:space="preserve">Администрации </w:t>
      </w:r>
      <w:r w:rsidR="0063487E">
        <w:rPr>
          <w:lang w:val="ru-RU"/>
        </w:rPr>
        <w:t xml:space="preserve">Курманаевского сельсовета </w:t>
      </w:r>
      <w:r>
        <w:rPr>
          <w:lang w:val="ru-RU"/>
        </w:rPr>
        <w:t>Курманаевского района</w:t>
      </w:r>
      <w:r w:rsidR="0063487E">
        <w:rPr>
          <w:lang w:val="ru-RU"/>
        </w:rPr>
        <w:t xml:space="preserve"> </w:t>
      </w:r>
      <w:r w:rsidR="008152D7">
        <w:t xml:space="preserve">Оренбургской области о соблюдении ограничений и запретов, требований о предотвращении или урегулировании конфликта интересов, исполнении обязанностей, возлагаемых на </w:t>
      </w:r>
      <w:r w:rsidR="00020179">
        <w:rPr>
          <w:lang w:val="ru-RU"/>
        </w:rPr>
        <w:t>муниципальных служащих</w:t>
      </w:r>
    </w:p>
    <w:p w:rsidR="00020179" w:rsidRDefault="00020179" w:rsidP="00020179">
      <w:pPr>
        <w:pStyle w:val="20"/>
        <w:shd w:val="clear" w:color="auto" w:fill="auto"/>
        <w:ind w:left="80"/>
        <w:rPr>
          <w:lang w:val="ru-RU"/>
        </w:rPr>
      </w:pPr>
    </w:p>
    <w:p w:rsidR="002A7200" w:rsidRPr="00020179" w:rsidRDefault="008152D7" w:rsidP="004A4BD6">
      <w:pPr>
        <w:pStyle w:val="11"/>
        <w:shd w:val="clear" w:color="auto" w:fill="auto"/>
        <w:tabs>
          <w:tab w:val="left" w:pos="8931"/>
          <w:tab w:val="left" w:pos="9021"/>
        </w:tabs>
        <w:spacing w:before="0"/>
        <w:ind w:left="80" w:right="90" w:firstLine="600"/>
        <w:rPr>
          <w:sz w:val="28"/>
          <w:szCs w:val="28"/>
        </w:rPr>
      </w:pPr>
      <w:r w:rsidRPr="00020179">
        <w:rPr>
          <w:sz w:val="28"/>
          <w:szCs w:val="28"/>
        </w:rPr>
        <w:t xml:space="preserve">Специфика </w:t>
      </w:r>
      <w:r w:rsidR="00020179">
        <w:rPr>
          <w:sz w:val="28"/>
          <w:szCs w:val="28"/>
          <w:lang w:val="ru-RU"/>
        </w:rPr>
        <w:t>муниципальной</w:t>
      </w:r>
      <w:r w:rsidRPr="00020179">
        <w:rPr>
          <w:sz w:val="28"/>
          <w:szCs w:val="28"/>
        </w:rPr>
        <w:t xml:space="preserve"> службы в Российской Федерации (далее - </w:t>
      </w:r>
      <w:r w:rsidR="00020179">
        <w:rPr>
          <w:sz w:val="28"/>
          <w:szCs w:val="28"/>
          <w:lang w:val="ru-RU"/>
        </w:rPr>
        <w:t>муниципальная</w:t>
      </w:r>
      <w:r w:rsidRPr="00020179">
        <w:rPr>
          <w:sz w:val="28"/>
          <w:szCs w:val="28"/>
        </w:rPr>
        <w:t xml:space="preserve"> служба) как профессиональной</w:t>
      </w:r>
      <w:r w:rsidR="00020179">
        <w:rPr>
          <w:sz w:val="28"/>
          <w:szCs w:val="28"/>
        </w:rPr>
        <w:t xml:space="preserve"> служебной деятельности граждан</w:t>
      </w:r>
      <w:r w:rsidR="00020179">
        <w:rPr>
          <w:sz w:val="28"/>
          <w:szCs w:val="28"/>
          <w:lang w:val="ru-RU"/>
        </w:rPr>
        <w:t>, которая осуществляется на постоянной основе</w:t>
      </w:r>
      <w:r w:rsidR="00D361AC">
        <w:rPr>
          <w:sz w:val="28"/>
          <w:szCs w:val="28"/>
          <w:lang w:val="ru-RU"/>
        </w:rPr>
        <w:t xml:space="preserve"> на должностях муниципальной службы, замещаемых путем заключения трудового договора </w:t>
      </w:r>
      <w:r w:rsidRPr="00020179">
        <w:rPr>
          <w:sz w:val="28"/>
          <w:szCs w:val="28"/>
        </w:rPr>
        <w:t xml:space="preserve">по обеспечению исполнения полномочий органов </w:t>
      </w:r>
      <w:r w:rsidR="00D361AC">
        <w:rPr>
          <w:sz w:val="28"/>
          <w:szCs w:val="28"/>
          <w:lang w:val="ru-RU"/>
        </w:rPr>
        <w:t>местного самоуправления</w:t>
      </w:r>
      <w:r w:rsidRPr="00020179">
        <w:rPr>
          <w:sz w:val="28"/>
          <w:szCs w:val="28"/>
        </w:rPr>
        <w:t xml:space="preserve"> предопределяет особый правовой статус </w:t>
      </w:r>
      <w:r w:rsidR="0072210F">
        <w:rPr>
          <w:sz w:val="28"/>
          <w:szCs w:val="28"/>
          <w:lang w:val="ru-RU"/>
        </w:rPr>
        <w:t>муниципальных</w:t>
      </w:r>
      <w:r w:rsidRPr="00020179">
        <w:rPr>
          <w:sz w:val="28"/>
          <w:szCs w:val="28"/>
        </w:rPr>
        <w:t xml:space="preserve"> служащих (далее -</w:t>
      </w:r>
      <w:r w:rsidR="0072210F">
        <w:rPr>
          <w:sz w:val="28"/>
          <w:szCs w:val="28"/>
          <w:lang w:val="ru-RU"/>
        </w:rPr>
        <w:t xml:space="preserve"> муниципальные</w:t>
      </w:r>
      <w:r w:rsidRPr="00020179">
        <w:rPr>
          <w:sz w:val="28"/>
          <w:szCs w:val="28"/>
        </w:rPr>
        <w:t xml:space="preserve"> служащие).</w:t>
      </w:r>
    </w:p>
    <w:p w:rsidR="002A7200" w:rsidRPr="00020179" w:rsidRDefault="008152D7" w:rsidP="00A00B3F">
      <w:pPr>
        <w:pStyle w:val="11"/>
        <w:shd w:val="clear" w:color="auto" w:fill="auto"/>
        <w:tabs>
          <w:tab w:val="left" w:pos="9021"/>
        </w:tabs>
        <w:spacing w:before="0" w:line="317" w:lineRule="exact"/>
        <w:ind w:left="80" w:right="-51" w:firstLine="600"/>
        <w:rPr>
          <w:sz w:val="28"/>
          <w:szCs w:val="28"/>
        </w:rPr>
      </w:pPr>
      <w:r w:rsidRPr="00020179">
        <w:rPr>
          <w:sz w:val="28"/>
          <w:szCs w:val="28"/>
        </w:rPr>
        <w:t xml:space="preserve">Регламентируя правовое положение </w:t>
      </w:r>
      <w:r w:rsidR="0072210F">
        <w:rPr>
          <w:sz w:val="28"/>
          <w:szCs w:val="28"/>
          <w:lang w:val="ru-RU"/>
        </w:rPr>
        <w:t>муниципальных</w:t>
      </w:r>
      <w:r w:rsidRPr="00020179">
        <w:rPr>
          <w:sz w:val="28"/>
          <w:szCs w:val="28"/>
        </w:rPr>
        <w:t xml:space="preserve"> служащих, порядок поступления и прохождения </w:t>
      </w:r>
      <w:r w:rsidR="0072210F">
        <w:rPr>
          <w:sz w:val="28"/>
          <w:szCs w:val="28"/>
          <w:lang w:val="ru-RU"/>
        </w:rPr>
        <w:t>муниципальной</w:t>
      </w:r>
      <w:r w:rsidRPr="00020179">
        <w:rPr>
          <w:sz w:val="28"/>
          <w:szCs w:val="28"/>
        </w:rPr>
        <w:t xml:space="preserve"> службы, государство вправе устанавливать в этой сфере и особые правила (требования), что обусловлено целью обеспечения поддержания высокого уровня отправления </w:t>
      </w:r>
      <w:r w:rsidR="0072210F">
        <w:rPr>
          <w:sz w:val="28"/>
          <w:szCs w:val="28"/>
          <w:lang w:val="ru-RU"/>
        </w:rPr>
        <w:t xml:space="preserve">муниципальной </w:t>
      </w:r>
      <w:r w:rsidRPr="00020179">
        <w:rPr>
          <w:sz w:val="28"/>
          <w:szCs w:val="28"/>
        </w:rPr>
        <w:t xml:space="preserve">службы, задачами и принципами ее организации и функционирования, особенностями профессиональной деятельности лиц, исполняющих обязанности по должности </w:t>
      </w:r>
      <w:r w:rsidR="0072210F">
        <w:rPr>
          <w:sz w:val="28"/>
          <w:szCs w:val="28"/>
          <w:lang w:val="ru-RU"/>
        </w:rPr>
        <w:t xml:space="preserve">муниципальной </w:t>
      </w:r>
      <w:r w:rsidRPr="00020179">
        <w:rPr>
          <w:sz w:val="28"/>
          <w:szCs w:val="28"/>
        </w:rPr>
        <w:t xml:space="preserve"> службы.</w:t>
      </w:r>
    </w:p>
    <w:p w:rsidR="00B50958" w:rsidRDefault="007D46DF" w:rsidP="00B50958">
      <w:pPr>
        <w:ind w:firstLine="680"/>
        <w:jc w:val="both"/>
        <w:rPr>
          <w:rStyle w:val="31"/>
          <w:rFonts w:eastAsia="Arial Unicode MS"/>
          <w:lang w:val="en-US"/>
        </w:rPr>
      </w:pPr>
      <w:r>
        <w:rPr>
          <w:rStyle w:val="31"/>
          <w:rFonts w:eastAsia="Arial Unicode MS"/>
          <w:sz w:val="28"/>
          <w:szCs w:val="28"/>
        </w:rPr>
        <w:t>В соответствии с</w:t>
      </w:r>
      <w:r>
        <w:rPr>
          <w:rStyle w:val="31"/>
          <w:rFonts w:eastAsia="Arial Unicode MS"/>
          <w:sz w:val="28"/>
          <w:szCs w:val="28"/>
          <w:lang w:val="ru-RU"/>
        </w:rPr>
        <w:t>о</w:t>
      </w:r>
      <w:r>
        <w:rPr>
          <w:rStyle w:val="31"/>
          <w:rFonts w:eastAsia="Arial Unicode MS"/>
          <w:sz w:val="28"/>
          <w:szCs w:val="28"/>
        </w:rPr>
        <w:t xml:space="preserve"> стать</w:t>
      </w:r>
      <w:r>
        <w:rPr>
          <w:rStyle w:val="31"/>
          <w:rFonts w:eastAsia="Arial Unicode MS"/>
          <w:sz w:val="28"/>
          <w:szCs w:val="28"/>
          <w:lang w:val="ru-RU"/>
        </w:rPr>
        <w:t xml:space="preserve">ями </w:t>
      </w:r>
      <w:r w:rsidR="00D702C2">
        <w:rPr>
          <w:rStyle w:val="31"/>
          <w:rFonts w:eastAsia="Arial Unicode MS"/>
          <w:sz w:val="28"/>
          <w:szCs w:val="28"/>
          <w:lang w:val="ru-RU"/>
        </w:rPr>
        <w:t>9,12,13,14 Федера</w:t>
      </w:r>
      <w:r w:rsidR="00B50958">
        <w:rPr>
          <w:rStyle w:val="31"/>
          <w:rFonts w:eastAsia="Arial Unicode MS"/>
          <w:sz w:val="28"/>
          <w:szCs w:val="28"/>
          <w:lang w:val="ru-RU"/>
        </w:rPr>
        <w:t>ль</w:t>
      </w:r>
      <w:r w:rsidR="00D702C2">
        <w:rPr>
          <w:rStyle w:val="31"/>
          <w:rFonts w:eastAsia="Arial Unicode MS"/>
          <w:sz w:val="28"/>
          <w:szCs w:val="28"/>
          <w:lang w:val="ru-RU"/>
        </w:rPr>
        <w:t xml:space="preserve">ного закона от 02.03.2007 № 25-ФЗ «О муниципальной службе в Российской Федерации», статьями </w:t>
      </w:r>
      <w:r>
        <w:rPr>
          <w:rStyle w:val="31"/>
          <w:rFonts w:eastAsia="Arial Unicode MS"/>
          <w:sz w:val="28"/>
          <w:szCs w:val="28"/>
          <w:lang w:val="ru-RU"/>
        </w:rPr>
        <w:t>9, 10, 11</w:t>
      </w:r>
      <w:r w:rsidR="00802891" w:rsidRPr="00802891">
        <w:rPr>
          <w:rFonts w:ascii="Times New Roman" w:hAnsi="Times New Roman" w:cs="Times New Roman"/>
          <w:sz w:val="28"/>
          <w:szCs w:val="28"/>
        </w:rPr>
        <w:t xml:space="preserve"> </w:t>
      </w:r>
      <w:r w:rsidR="00802891" w:rsidRPr="00802891">
        <w:rPr>
          <w:rFonts w:ascii="Times New Roman" w:hAnsi="Times New Roman" w:cs="Times New Roman"/>
          <w:sz w:val="28"/>
          <w:szCs w:val="28"/>
          <w:lang w:val="ru-RU"/>
        </w:rPr>
        <w:t>Закона Оренбургской области от 10.10.2007 № 1611/339-</w:t>
      </w:r>
      <w:r w:rsidR="00802891" w:rsidRPr="008028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02891" w:rsidRPr="00802891">
        <w:rPr>
          <w:rFonts w:ascii="Times New Roman" w:hAnsi="Times New Roman" w:cs="Times New Roman"/>
          <w:sz w:val="28"/>
          <w:szCs w:val="28"/>
          <w:lang w:val="ru-RU"/>
        </w:rPr>
        <w:t>- 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муниципальной службе в Орен</w:t>
      </w:r>
      <w:r w:rsidR="004A4BD6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ургской области» муниципальный </w:t>
      </w:r>
      <w:r w:rsidR="008152D7" w:rsidRPr="00802891">
        <w:rPr>
          <w:rStyle w:val="31"/>
          <w:rFonts w:eastAsia="Arial Unicode MS"/>
          <w:sz w:val="28"/>
          <w:szCs w:val="28"/>
        </w:rPr>
        <w:t xml:space="preserve"> служащий обязан соблюдать ограничения,</w:t>
      </w:r>
      <w:r w:rsidR="008152D7" w:rsidRPr="00020179">
        <w:rPr>
          <w:rStyle w:val="31"/>
          <w:rFonts w:eastAsia="Arial Unicode MS"/>
          <w:sz w:val="28"/>
          <w:szCs w:val="28"/>
        </w:rPr>
        <w:t xml:space="preserve"> выполнять </w:t>
      </w:r>
      <w:r w:rsidR="00B50958">
        <w:rPr>
          <w:rStyle w:val="31"/>
          <w:rFonts w:eastAsia="Arial Unicode MS"/>
          <w:sz w:val="28"/>
          <w:szCs w:val="28"/>
          <w:lang w:val="ru-RU"/>
        </w:rPr>
        <w:t>обязательс</w:t>
      </w:r>
      <w:r w:rsidR="008152D7" w:rsidRPr="00020179">
        <w:rPr>
          <w:rStyle w:val="31"/>
          <w:rFonts w:eastAsia="Arial Unicode MS"/>
          <w:sz w:val="28"/>
          <w:szCs w:val="28"/>
        </w:rPr>
        <w:t>тва и требования к служебному поведению, не нарушать</w:t>
      </w:r>
      <w:r w:rsidR="00B50958">
        <w:rPr>
          <w:rStyle w:val="31"/>
          <w:rFonts w:eastAsia="Arial Unicode MS"/>
          <w:sz w:val="28"/>
          <w:szCs w:val="28"/>
          <w:lang w:val="ru-RU"/>
        </w:rPr>
        <w:t xml:space="preserve"> </w:t>
      </w:r>
      <w:r w:rsidR="00B50958" w:rsidRPr="00020179">
        <w:rPr>
          <w:rStyle w:val="31"/>
          <w:rFonts w:eastAsia="Arial Unicode MS"/>
          <w:sz w:val="28"/>
          <w:szCs w:val="28"/>
        </w:rPr>
        <w:t xml:space="preserve">запреты, которые установлены федеральными </w:t>
      </w:r>
      <w:r w:rsidR="00B50958">
        <w:rPr>
          <w:rStyle w:val="31"/>
          <w:rFonts w:eastAsia="Arial Unicode MS"/>
          <w:sz w:val="28"/>
          <w:szCs w:val="28"/>
          <w:lang w:val="ru-RU"/>
        </w:rPr>
        <w:t xml:space="preserve"> и областными законами</w:t>
      </w:r>
      <w:r w:rsidR="00B50958">
        <w:rPr>
          <w:rStyle w:val="31"/>
          <w:rFonts w:eastAsia="Arial Unicode MS"/>
        </w:rPr>
        <w:t>.</w:t>
      </w:r>
    </w:p>
    <w:p w:rsidR="00E16B2D" w:rsidRDefault="00E16B2D" w:rsidP="00B50958">
      <w:pPr>
        <w:ind w:firstLine="680"/>
        <w:jc w:val="both"/>
        <w:rPr>
          <w:rStyle w:val="31"/>
          <w:rFonts w:eastAsia="Arial Unicode MS"/>
          <w:lang w:val="en-US"/>
        </w:rPr>
      </w:pPr>
    </w:p>
    <w:p w:rsidR="00E16B2D" w:rsidRDefault="00E16B2D" w:rsidP="00B50958">
      <w:pPr>
        <w:ind w:firstLine="680"/>
        <w:jc w:val="both"/>
        <w:rPr>
          <w:rStyle w:val="31"/>
          <w:rFonts w:eastAsia="Arial Unicode MS"/>
          <w:lang w:val="en-US"/>
        </w:rPr>
      </w:pPr>
    </w:p>
    <w:p w:rsidR="00E16B2D" w:rsidRDefault="00E16B2D" w:rsidP="00B50958">
      <w:pPr>
        <w:ind w:firstLine="680"/>
        <w:jc w:val="both"/>
        <w:rPr>
          <w:rStyle w:val="31"/>
          <w:rFonts w:eastAsia="Arial Unicode MS"/>
          <w:lang w:val="en-US"/>
        </w:rPr>
      </w:pPr>
    </w:p>
    <w:p w:rsidR="00E16B2D" w:rsidRDefault="00E16B2D" w:rsidP="00B50958">
      <w:pPr>
        <w:ind w:firstLine="680"/>
        <w:jc w:val="both"/>
        <w:rPr>
          <w:rStyle w:val="31"/>
          <w:rFonts w:eastAsia="Arial Unicode MS"/>
          <w:lang w:val="en-US"/>
        </w:rPr>
      </w:pPr>
    </w:p>
    <w:p w:rsidR="00E16B2D" w:rsidRDefault="00E16B2D" w:rsidP="00B5095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E16B2D" w:rsidSect="00B50958">
          <w:type w:val="continuous"/>
          <w:pgSz w:w="11905" w:h="16837"/>
          <w:pgMar w:top="142" w:right="848" w:bottom="2127" w:left="203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-1140"/>
        <w:tblW w:w="0" w:type="auto"/>
        <w:tblCellMar>
          <w:left w:w="10" w:type="dxa"/>
          <w:right w:w="10" w:type="dxa"/>
        </w:tblCellMar>
        <w:tblLook w:val="04A0"/>
      </w:tblPr>
      <w:tblGrid>
        <w:gridCol w:w="2550"/>
        <w:gridCol w:w="516"/>
        <w:gridCol w:w="442"/>
        <w:gridCol w:w="390"/>
        <w:gridCol w:w="227"/>
        <w:gridCol w:w="223"/>
        <w:gridCol w:w="220"/>
        <w:gridCol w:w="209"/>
        <w:gridCol w:w="227"/>
        <w:gridCol w:w="226"/>
        <w:gridCol w:w="220"/>
        <w:gridCol w:w="211"/>
        <w:gridCol w:w="202"/>
        <w:gridCol w:w="196"/>
        <w:gridCol w:w="189"/>
        <w:gridCol w:w="527"/>
        <w:gridCol w:w="454"/>
        <w:gridCol w:w="399"/>
        <w:gridCol w:w="357"/>
        <w:gridCol w:w="6508"/>
      </w:tblGrid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0" w:type="auto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16B2D" w:rsidRPr="001C03B0" w:rsidRDefault="00E16B2D" w:rsidP="0063487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6B2D" w:rsidRPr="001C03B0" w:rsidRDefault="00E16B2D" w:rsidP="0063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B0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и запреты, требования о предотвращении или урегулировании конфликта интересов, обязанности,</w:t>
            </w:r>
          </w:p>
          <w:p w:rsidR="00E16B2D" w:rsidRPr="00F44F6B" w:rsidRDefault="00E16B2D" w:rsidP="006348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B0">
              <w:rPr>
                <w:rFonts w:ascii="Times New Roman" w:hAnsi="Times New Roman" w:cs="Times New Roman"/>
                <w:b/>
                <w:sz w:val="28"/>
                <w:szCs w:val="28"/>
              </w:rPr>
              <w:t>возлагаемые на государственных гражданских служащих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1C03B0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3B0">
              <w:rPr>
                <w:rFonts w:ascii="Times New Roman" w:hAnsi="Times New Roman" w:cs="Times New Roman"/>
                <w:sz w:val="22"/>
                <w:szCs w:val="22"/>
              </w:rPr>
              <w:t>Содержание запрета/ограничения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1C03B0" w:rsidRDefault="00E16B2D" w:rsidP="0063487E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03B0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основания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1C03B0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3B0">
              <w:rPr>
                <w:rFonts w:ascii="Times New Roman" w:hAnsi="Times New Roman" w:cs="Times New Roman"/>
                <w:sz w:val="22"/>
                <w:szCs w:val="22"/>
              </w:rPr>
              <w:t>Необход имые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1C03B0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3B0">
              <w:rPr>
                <w:rFonts w:ascii="Times New Roman" w:hAnsi="Times New Roman" w:cs="Times New Roman"/>
                <w:sz w:val="22"/>
                <w:szCs w:val="22"/>
              </w:rPr>
              <w:t>Ответственность за несоблюдение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890F7C" w:rsidRDefault="00E16B2D" w:rsidP="0063487E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F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1C03B0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Муниципальный </w:t>
            </w:r>
            <w:r w:rsidRPr="001C03B0">
              <w:rPr>
                <w:rFonts w:ascii="Times New Roman" w:hAnsi="Times New Roman" w:cs="Times New Roman"/>
                <w:sz w:val="22"/>
                <w:szCs w:val="22"/>
              </w:rPr>
              <w:t>служащий обязан ежегодно представлять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детей.</w:t>
            </w:r>
          </w:p>
          <w:p w:rsidR="00E16B2D" w:rsidRPr="001C03B0" w:rsidRDefault="00E16B2D" w:rsidP="0063487E">
            <w:pPr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B0">
              <w:rPr>
                <w:rFonts w:ascii="Times New Roman" w:hAnsi="Times New Roman" w:cs="Times New Roman"/>
                <w:sz w:val="22"/>
                <w:szCs w:val="22"/>
              </w:rPr>
              <w:t xml:space="preserve">Перечни должностей, на которые распространяется данная обязанность, утверждена указом Губернатора Оренбургской области от 2 сентября 2009 года № 194-ук «Об утверждении должностей государственной </w:t>
            </w:r>
            <w:r w:rsidRPr="001C0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гражданской службы Оренбургской области, при назначении на которые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указа Губернатора Оренбургской области от 17.02.2012 № 89- ук), приказом министерства образования Оренбургской области от 22 марта 2012 года № 01/20-444 «Об утверждении должностей государственной гражданской службы».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1C03B0" w:rsidRDefault="00E16B2D" w:rsidP="006348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ч. 1 ст. 20 Федерального закона № 79-ФЗ; ч. 1 ст. 8 Федерального закона № 273-ФЗ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1C03B0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3B0">
              <w:rPr>
                <w:rFonts w:ascii="Times New Roman" w:hAnsi="Times New Roman" w:cs="Times New Roman"/>
                <w:sz w:val="22"/>
                <w:szCs w:val="22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 (супруги) и несовершеннолетних детей).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1C03B0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3B0">
              <w:rPr>
                <w:rFonts w:ascii="Times New Roman" w:hAnsi="Times New Roman" w:cs="Times New Roman"/>
                <w:sz w:val="22"/>
                <w:szCs w:val="22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гражданского служащего от замещаемой должности либо привлечение его к иным видам дисциплинарной ответственности.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0" w:type="auto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Подать в 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Непредставление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по необъективной причине является способом уклонения от представления указанных сведений и влечет освобождение государственного служащего от замещаемой должности либо привлечение его к иным видам дисциплинарной ответственности.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Конфликт интересов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В случае возникновения у гражданского служащего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12 ч. 1 ст. 15 Федерального закона № 79-ФЗ ч. 3 ст. 19 Федерального закона № 79-ФЗ ч. 2 ст. 11 Федерального закона № 273-Ф3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Проинформировать представителя нанимателя в письменной форме о возникновении личной заинтересованности.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ч.4сг. 19 Федерального закона № 79-ФЗ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gridAfter w:val="1"/>
          <w:wAfter w:w="6506" w:type="dxa"/>
          <w:trHeight w:val="269"/>
        </w:trPr>
        <w:tc>
          <w:tcPr>
            <w:tcW w:w="0" w:type="auto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gridAfter w:val="1"/>
          <w:wAfter w:w="6506" w:type="dxa"/>
          <w:trHeight w:val="35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Уведомление о склонении к коррупционным правонарушениям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gridAfter w:val="1"/>
          <w:wAfter w:w="6506" w:type="dxa"/>
          <w:trHeight w:val="2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Гражданский служащий обязан 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министерства образования Оренбургской области от 02.07.2010№ 01/20-786утвержден порядок уведомления представителя нанимателя о фактах обращения в 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целях склонения гражданского служащего к совершению коррупционных правонарушений.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ч. 1 ст. 9 Федерального закона № 273-ФЭ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Уведомить представителя нанимателя, органы прокуратуры или другие государственные органы обо всех случаях обращения в целях склонения к совершению коррупционных правонарушений.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Невыполнение является правонарушением и влечет увольнение с гражданской службы либо привлечение к иным видам ответственности.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gridAfter w:val="1"/>
          <w:wAfter w:w="6506" w:type="dxa"/>
          <w:trHeight w:val="413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подарков, услуг, наград и иных благ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gridAfter w:val="1"/>
          <w:wAfter w:w="6506" w:type="dxa"/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Не допускается дарение гражданским служащим подарков, за исключением обычных подарков, стоимость которых не превышает трех тысяч рублей,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ст. 575 Гражданского кодекса Российской Федерации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Передать по акту в государственный орган подарок, полученный в связи с протокольными и иными официальными мероприятиями.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gridAfter w:val="1"/>
          <w:wAfter w:w="6506" w:type="dxa"/>
          <w:trHeight w:val="2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6 ч. 1 ст. 17 Федерального закона № 79-ФЗ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Российской Федерации и передаются гражданским служащим по акту в государственный орган, в котором он замещает должность. Гражданский служащий может не сдавать подарок, стоимость которого не превышает три тысячи рублей.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выкупить.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Правительства Оренбургской области от 18.07.2011 № 609-путвержден порядок передачи подарков, полученных лицами, замещающими государственные^ должности в органах исполнительной 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власти Оренбургской области, и государственными гражданскими служащими, замещающими должности государственной гражданской службы в органах исполнительной власти Оренбургской области,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6 ч. 1 ст. 17 Федерального закона № 79-ФЗ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3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Исключение составляют служебные командировки, осуществляемые в соответствии с международными договорами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Федерации, и государственными органами других государств, международными и 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иностранными организациями.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7 ч. 1 ст. 17 Федерального закона № 79-ФЗ</w:t>
            </w:r>
          </w:p>
        </w:tc>
        <w:tc>
          <w:tcPr>
            <w:tcW w:w="0" w:type="auto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должностные обязанности гражданского служащего входит взаимодействие с указанными организациями и объединениями. Исключение составляют научные звания.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11ч. 1 ст. 17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Чолучить письменное заз решение тредставителя нанимателя.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пбптм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Запрещается участвовать на платной основе в деятельности органа управления коммерческой организацией, за исключением случаев, установленных 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федеральным законом.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иной р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1 ч. 1 ст. 17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Запрещается осуществлять предпринимательскую деятельность.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3 ч. 1 ст. 17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Запрещается бьггь поверенным или представителем по делам третьих лиц в государственном органе, в котором гражданский служащий замещает должность, за исключением случаев, установленных федеральным законом.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5 ч. 1 ст. 17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</w:t>
            </w:r>
            <w:r w:rsidR="0063487E" w:rsidRPr="00F44F6B">
              <w:rPr>
                <w:rFonts w:ascii="Times New Roman" w:hAnsi="Times New Roman" w:cs="Times New Roman"/>
                <w:sz w:val="22"/>
                <w:szCs w:val="22"/>
              </w:rPr>
              <w:t>российским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16 ч. 1 ст. 17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гражданской службы.</w:t>
            </w:r>
          </w:p>
          <w:p w:rsidR="00E16B2D" w:rsidRPr="00F44F6B" w:rsidRDefault="00E16B2D" w:rsidP="0063487E">
            <w:pPr>
              <w:tabs>
                <w:tab w:val="left" w:leader="hyphen" w:pos="1248"/>
                <w:tab w:val="left" w:leader="hyphen" w:pos="1277"/>
                <w:tab w:val="left" w:leader="hyphen" w:pos="2054"/>
                <w:tab w:val="left" w:leader="hyphen" w:pos="2083"/>
                <w:tab w:val="left" w:leader="hyphen" w:pos="3672"/>
                <w:tab w:val="left" w:leader="hyphen" w:pos="3754"/>
                <w:tab w:val="left" w:leader="hyphen" w:pos="4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0" w:type="auto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17 ч. 1 ст. 17 3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Получить письменное разрешение представителя нанимателя.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1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Приказом министерства образования Оренбургской области от 07.02.2011 № 01/20-76утвержден порядок уведомления представителя нанимателя о выполнении иной отачиваемой работы государственными гражданскими служащими аппарат Губернатора и Правительства Оренбургской области.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ч. 2 ст. 14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Уведомить представителя нанимателя до начала выполнения иной оплачиваемой работы.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применения мер дисциплинарного взыскания.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Владение акциями и иными ценными бумагами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 если, гражданский служащий владеет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ч. 2 ст. 17 Федерального закона № 79-ФЗ ч. 6 ст. 11 Федерального закона № 275-ФЗ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Обратиться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 капиталах организаций) в доверительное управление.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Трудоустройство бывших гражданских служащих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4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Гражданин после увольнения с гражданской службы не вправе в течение двух лет замещать должности, а также выполнять работу на условиях гражданско- 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 и урегулированию конфликтов интересов. Данное ограничение распространяется на бывших гражданских служащих, которые были обязаны представлять сведения о доходах, об имуществе и обязательствах имущественного характера.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Указом Губернатора области от 08.10.2010 № 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214-ук утвержден перечень должностей государственной гражданской службы Оренбургской области, при назначении на которые и при замещении которых на государственных гражданских служащих Оренбургской области распространяются ограничения, установленные Указом Президента Российской Федерации от 21 июля 2010 года № 925.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1 ч. 3 ст. 17 Федерального закона № 79-ФЗ ч. 1 ст. 12 Федерального закона №273-Ф3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Получить согласие комиссии по урегулированию конфликта интересов</w:t>
            </w: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За нарушение бывшими гражданскими служащими установленного порядка трудоустройства применяется административная ответственность, предусмотренная ст. 19.29 Кодекса Российской Федерации об административных правонарушениях (далее - КоАП РФ)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493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Гражданин в течение двух лет после увольнения с гражданской службы обязан при заключении трудовых договоров сообщать представителю нанимателя (работодателю) сведения о последнем месте своей службы.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Данное ограничение распространяется на бывших гражданских служащих, которые были обязаны представлять сведения о доходах, об 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 и обязательствах имущественного характера.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ч. 2 ст. 12 Федерального закона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№273-Ф3 ст. 64.1 Трудового кодекса Российской Федерации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В течение двух лет после увольнения с гражданской службы при заключении трудовых договоров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сообщать работодателю сведения о последнем месте своей службы.</w:t>
            </w: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Несоблюдение данного требования влечет прекращение соответствующего трудового договора (ч. 3 ст. 12 Закона № 273- ФЗ).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2 ч. 3 ст. 17 Федерального закона №79-ФЗ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Административная и уголовная ответственность, предусмотренная в том числе ст. 183 Уголовного кодекса Российской Федерации (далее - УК РФ); ст. 13.14 КоАП РФ.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Политическая, общественная и профсоюзная деятельность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Гражданский служащий обязан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7 ч. 1 ст. 18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Выполнение требований к служебному поведению является обязанностью гражданского служащего. Соответственно, их несоблюдение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493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Запрещается использовать преимущества должностного положения для предвыборной агитации, а также для агитации по вопросам референдума.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12 ч. 1 ст. 17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служащего. Исключение составляют случаи, когда подобное публичное выражение отношения входит в должностные обязанности гражданского служащего.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13 ч. 1 ст. 17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Запрещается создавать в государственных органах структуры политических партий, других общественных и религиозных объединений или способствовать созданию указанных 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структур. Исключение составляют профессиональные союзы, ветеранские организации и иные органы общественной самодеятельности.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14 ч. 1 ст. 17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ч. 2 ст. 18 Федерального закона № 79-ФЗ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Выполнение требований к служебному поведению является обязанностью гражданского служащего. Соответственно, их несоблюдение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63487E" w:rsidRPr="00F44F6B" w:rsidTr="0063487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4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7E" w:rsidRPr="00F44F6B" w:rsidRDefault="0063487E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Гражданский служащий, замещающий должность гражданской службы категории «руководители» высшей группы должностей гражданской службы не может представлять интересы гражданских служащих в выборном профсоюзном органе данного 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ч. 4 ст. 15 Федерального закона № 79-ФЗ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Запрещается замещать должность гражданской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2 ч. 1 ст. 17 Федерального закона № 79-ФЗ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Использование информации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Запрещается разглашать сведения, составляющие государственную и иную охраняемую федеральным законом тайну, а также сведения, ставшие известными гражданскому служащему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7 ч. 1 ст. 15 Федерального закона № 79-ФЗ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63487E" w:rsidRPr="00F44F6B" w:rsidTr="0063487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4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7E" w:rsidRPr="00F44F6B" w:rsidRDefault="0063487E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2 ч. 36 ст. 17 Федерального закона № 79-ФЗ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Административная и уголовная ответственность, предусмотренная в том числе:</w:t>
            </w:r>
          </w:p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ст. 183 УК РФ; ст. 13.14 КоАП РФ.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tabs>
                <w:tab w:val="left" w:leader="hyphen" w:pos="1779"/>
                <w:tab w:val="left" w:leader="hyphen" w:pos="18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Использование государственного имущества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Запрещается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8 ч. 1 ст. 17 Федерального закона № 79-ФЗ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 на гражданской службе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B2D" w:rsidRPr="00F44F6B" w:rsidTr="0063487E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Гражданский служащий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п. 5 ч. 1 ст. 16 Федерального закона № 79-ФЗ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2D" w:rsidRPr="00F44F6B" w:rsidRDefault="00E16B2D" w:rsidP="00634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F6B">
              <w:rPr>
                <w:rFonts w:ascii="Times New Roman" w:hAnsi="Times New Roman" w:cs="Times New Roman"/>
                <w:sz w:val="22"/>
                <w:szCs w:val="22"/>
              </w:rPr>
              <w:t>Нарушение ограничения является основанием для прекращения служебного контракта, освобождения от замещаемой должности и увольнения с гражданской службы.</w:t>
            </w:r>
          </w:p>
        </w:tc>
      </w:tr>
    </w:tbl>
    <w:p w:rsidR="00E16B2D" w:rsidRPr="00E16B2D" w:rsidRDefault="00E16B2D" w:rsidP="00B5095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A7200" w:rsidRPr="00A00B3F" w:rsidRDefault="002A7200" w:rsidP="00A00B3F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7200" w:rsidRPr="00A00B3F" w:rsidSect="00E16B2D">
      <w:type w:val="continuous"/>
      <w:pgSz w:w="16837" w:h="11905" w:orient="landscape"/>
      <w:pgMar w:top="2036" w:right="238" w:bottom="851" w:left="21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F0" w:rsidRDefault="00B312F0" w:rsidP="002A7200">
      <w:r>
        <w:separator/>
      </w:r>
    </w:p>
  </w:endnote>
  <w:endnote w:type="continuationSeparator" w:id="1">
    <w:p w:rsidR="00B312F0" w:rsidRDefault="00B312F0" w:rsidP="002A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F0" w:rsidRDefault="00B312F0"/>
  </w:footnote>
  <w:footnote w:type="continuationSeparator" w:id="1">
    <w:p w:rsidR="00B312F0" w:rsidRDefault="00B312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7200"/>
    <w:rsid w:val="00020179"/>
    <w:rsid w:val="000923D9"/>
    <w:rsid w:val="00285715"/>
    <w:rsid w:val="002A7200"/>
    <w:rsid w:val="0042501D"/>
    <w:rsid w:val="004A4BD6"/>
    <w:rsid w:val="0063487E"/>
    <w:rsid w:val="0072210F"/>
    <w:rsid w:val="007D46DF"/>
    <w:rsid w:val="00802891"/>
    <w:rsid w:val="008152D7"/>
    <w:rsid w:val="00A00B3F"/>
    <w:rsid w:val="00B312F0"/>
    <w:rsid w:val="00B50958"/>
    <w:rsid w:val="00C5415B"/>
    <w:rsid w:val="00D361AC"/>
    <w:rsid w:val="00D702C2"/>
    <w:rsid w:val="00DB6956"/>
    <w:rsid w:val="00E1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200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200"/>
    <w:rPr>
      <w:color w:val="000080"/>
      <w:u w:val="single"/>
    </w:rPr>
  </w:style>
  <w:style w:type="character" w:customStyle="1" w:styleId="1">
    <w:name w:val="Заголовок №1_"/>
    <w:link w:val="10"/>
    <w:rsid w:val="002A7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link w:val="20"/>
    <w:rsid w:val="002A7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link w:val="11"/>
    <w:rsid w:val="002A7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link w:val="30"/>
    <w:rsid w:val="002A7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rsid w:val="002A7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2A7200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A7200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2A7200"/>
    <w:pPr>
      <w:shd w:val="clear" w:color="auto" w:fill="FFFFFF"/>
      <w:spacing w:before="240" w:line="31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2A7200"/>
    <w:pPr>
      <w:shd w:val="clear" w:color="auto" w:fill="FFFFFF"/>
      <w:spacing w:line="324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B6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6956"/>
    <w:rPr>
      <w:rFonts w:ascii="Tahoma" w:hAnsi="Tahoma" w:cs="Tahoma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Пользователь</cp:lastModifiedBy>
  <cp:revision>2</cp:revision>
  <cp:lastPrinted>2013-09-25T05:28:00Z</cp:lastPrinted>
  <dcterms:created xsi:type="dcterms:W3CDTF">2016-09-22T13:15:00Z</dcterms:created>
  <dcterms:modified xsi:type="dcterms:W3CDTF">2016-09-22T13:15:00Z</dcterms:modified>
</cp:coreProperties>
</file>